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JSZC-321000-SWGC-G2026-0044</w:t>
      </w:r>
      <w:r>
        <w:rPr>
          <w:rFonts w:hint="eastAsia" w:ascii="Times New Roman" w:hAnsi="Times New Roman" w:eastAsia="宋体"/>
          <w:b/>
          <w:bCs/>
          <w:color w:val="auto"/>
          <w:sz w:val="36"/>
          <w:highlight w:val="none"/>
        </w:rPr>
        <w:t xml:space="preserve">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eastAsia="zh-CN"/>
        </w:rPr>
        <w:t xml:space="preserve">扬州市警务技能训练基地后勤托管一体化服务项目</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b/>
          <w:bCs/>
          <w:color w:val="auto"/>
          <w:sz w:val="36"/>
          <w:highlight w:val="none"/>
          <w:lang w:val="en-US" w:eastAsia="zh-CN"/>
        </w:rPr>
        <w:t xml:space="preserve">04</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16</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8"/>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900"/>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900"/>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900"/>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900"/>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900"/>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41</w:t>
      </w:r>
      <w:r>
        <w:rPr>
          <w:rFonts w:ascii="Times New Roman" w:hAnsi="Times New Roman" w:eastAsia="宋体"/>
          <w:color w:val="auto"/>
          <w:sz w:val="30"/>
          <w:szCs w:val="30"/>
          <w:highlight w:val="none"/>
        </w:rPr>
        <w:fldChar w:fldCharType="end"/>
      </w:r>
      <w:r/>
    </w:p>
    <w:p>
      <w:pPr>
        <w:pStyle w:val="900"/>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48</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84"/>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4"/>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olor w:val="auto"/>
          <w:highlight w:val="none"/>
          <w:lang w:eastAsia="zh-CN"/>
        </w:rPr>
        <w:t xml:space="preserve">扬州市警务技能训练基地后勤托管一体化服务项目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JSZC-321000-SWGC-G2026-0044</w:t>
      </w:r>
      <w:r>
        <w:rPr>
          <w:rFonts w:hint="eastAsia" w:ascii="Times New Roman" w:hAnsi="Times New Roman" w:eastAsia="宋体"/>
          <w:color w:val="auto"/>
          <w:szCs w:val="21"/>
          <w:highlight w:val="none"/>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扬州市警务技能训练基地后勤托管一体化服务项目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5</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8</w:t>
      </w:r>
      <w:r>
        <w:rPr>
          <w:rFonts w:hint="eastAsia" w:ascii="Times New Roman" w:hAnsi="Times New Roman" w:eastAsia="宋体" w:cs="宋体"/>
          <w:bCs/>
          <w:color w:val="auto"/>
          <w:highlight w:val="none"/>
          <w:u w:val="single"/>
        </w:rPr>
        <w:t xml:space="preserve">日上午09：30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38985263"/>
      <w:r/>
      <w:bookmarkStart w:id="4" w:name="_Toc35393621"/>
      <w:r/>
      <w:bookmarkStart w:id="5" w:name="_Toc35393790"/>
      <w:r/>
      <w:bookmarkStart w:id="6" w:name="_Toc28359079"/>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JSZC-321000-SWGC-G2026-0044</w:t>
      </w:r>
      <w:r>
        <w:rPr>
          <w:rFonts w:hint="eastAsia" w:ascii="Times New Roman" w:hAnsi="Times New Roman" w:eastAsia="宋体"/>
          <w:color w:val="auto"/>
          <w:szCs w:val="21"/>
          <w:highlight w:val="none"/>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w:t>
      </w:r>
      <w:r>
        <w:rPr>
          <w:rFonts w:hint="eastAsia" w:ascii="Times New Roman" w:hAnsi="Times New Roman" w:eastAsia="宋体" w:cs="宋体"/>
          <w:color w:val="auto"/>
          <w:highlight w:val="none"/>
        </w:rPr>
        <w:t xml:space="preserve">目名称：</w:t>
      </w:r>
      <w:r>
        <w:rPr>
          <w:rFonts w:hint="eastAsia" w:ascii="Times New Roman" w:hAnsi="Times New Roman"/>
          <w:color w:val="auto"/>
          <w:highlight w:val="none"/>
          <w:lang w:eastAsia="zh-CN"/>
        </w:rPr>
        <w:t xml:space="preserve">扬州市警务技能训练基地后勤托管一体化服务项目</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23</w:t>
      </w:r>
      <w:r>
        <w:rPr>
          <w:rFonts w:hint="eastAsia" w:ascii="Times New Roman" w:hAnsi="Times New Roman" w:eastAsia="宋体" w:cs="宋体"/>
          <w:color w:val="auto"/>
          <w:highlight w:val="none"/>
          <w:lang w:val="en-US" w:eastAsia="zh-CN"/>
        </w:rPr>
        <w:t xml:space="preserve">0万元</w:t>
      </w:r>
      <w:r>
        <w:rPr>
          <w:rFonts w:hint="eastAsia" w:ascii="Times New Roman" w:hAnsi="Times New Roman" w:eastAsia="宋体" w:cs="宋体"/>
          <w:color w:val="auto"/>
          <w:highlight w:val="none"/>
        </w:rPr>
        <w:t xml:space="preserve">。</w:t>
      </w:r>
      <w:r/>
    </w:p>
    <w:p>
      <w:pPr>
        <w:pStyle w:val="913"/>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cs="宋体"/>
          <w:color w:val="auto"/>
          <w:szCs w:val="21"/>
          <w:highlight w:val="none"/>
          <w:lang w:val="en-US" w:eastAsia="zh-CN"/>
        </w:rPr>
        <w:t xml:space="preserve">一</w:t>
      </w:r>
      <w:r>
        <w:rPr>
          <w:rFonts w:hint="eastAsia" w:ascii="Times New Roman" w:hAnsi="Times New Roman" w:eastAsia="宋体" w:cs="宋体"/>
          <w:color w:val="auto"/>
          <w:szCs w:val="21"/>
          <w:highlight w:val="none"/>
          <w:lang w:val="en-US" w:eastAsia="zh-CN"/>
        </w:rPr>
        <w:t xml:space="preserve">年</w:t>
      </w:r>
      <w:r>
        <w:rPr>
          <w:rFonts w:hint="eastAsia" w:ascii="Times New Roman" w:hAnsi="Times New Roman" w:eastAsia="宋体" w:cs="宋体"/>
          <w:color w:val="auto"/>
          <w:szCs w:val="21"/>
          <w:highlight w:val="none"/>
        </w:rPr>
        <w:t xml:space="preserve">。</w:t>
      </w:r>
      <w:bookmarkStart w:id="196" w:name="_GoBack"/>
      <w:r/>
      <w:bookmarkEnd w:id="196"/>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80"/>
      <w:r/>
      <w:bookmarkStart w:id="9" w:name="_Toc38985264"/>
      <w:r/>
      <w:bookmarkStart w:id="10" w:name="_Toc35393791"/>
      <w:r/>
      <w:bookmarkStart w:id="11" w:name="_Toc35393622"/>
      <w:r/>
      <w:bookmarkStart w:id="12" w:name="_Toc28359003"/>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81"/>
      <w:r/>
      <w:bookmarkStart w:id="14" w:name="_Toc35393623"/>
      <w:r/>
      <w:bookmarkStart w:id="15" w:name="_Toc35393792"/>
      <w:r/>
      <w:bookmarkStart w:id="16" w:name="_Toc28359004"/>
      <w:r/>
      <w:bookmarkStart w:id="17" w:name="_Toc38985265"/>
      <w:r>
        <w:rPr>
          <w:rFonts w:hint="eastAsia" w:ascii="Times New Roman" w:hAnsi="Times New Roman" w:eastAsia="宋体" w:cs="宋体"/>
          <w:color w:val="auto"/>
          <w:szCs w:val="21"/>
          <w:highlight w:val="none"/>
        </w:rPr>
        <w:t xml:space="preserve">1.满足《中华人民共和国政府采购</w:t>
      </w:r>
      <w:r>
        <w:rPr>
          <w:rFonts w:hint="eastAsia" w:ascii="Times New Roman" w:hAnsi="Times New Roman" w:eastAsia="宋体" w:cs="宋体"/>
          <w:color w:val="auto"/>
          <w:szCs w:val="21"/>
          <w:highlight w:val="none"/>
        </w:rPr>
        <w:t xml:space="preserve">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Cs w:val="21"/>
          <w:highlight w:val="none"/>
          <w:u w:val="single"/>
          <w:lang w:val="en-US" w:eastAsia="zh-CN"/>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05"/>
      <w:r/>
      <w:bookmarkStart w:id="19" w:name="_Toc28359082"/>
      <w:r/>
      <w:bookmarkStart w:id="20" w:name="_Toc38985266"/>
      <w:r/>
      <w:bookmarkStart w:id="21" w:name="_Toc35393624"/>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1.时间：2026年</w:t>
      </w:r>
      <w:r>
        <w:rPr>
          <w:rFonts w:hint="eastAsia" w:ascii="Times New Roman" w:hAnsi="Times New Roman" w:cs="宋体"/>
          <w:color w:val="auto"/>
          <w:highlight w:val="none"/>
          <w:lang w:val="en-US" w:eastAsia="zh-CN"/>
        </w:rPr>
        <w:t xml:space="preserve">5</w:t>
      </w:r>
      <w:r>
        <w:rPr>
          <w:rFonts w:hint="eastAsia" w:ascii="Times New Roman" w:hAnsi="Times New Roman" w:eastAsia="宋体" w:cs="宋体"/>
          <w:color w:val="auto"/>
          <w:highlight w:val="none"/>
        </w:rPr>
        <w:t xml:space="preserve">月</w:t>
      </w:r>
      <w:r>
        <w:rPr>
          <w:rFonts w:hint="eastAsia" w:ascii="Times New Roman" w:hAnsi="Times New Roman" w:cs="宋体"/>
          <w:color w:val="auto"/>
          <w:highlight w:val="none"/>
          <w:lang w:val="en-US" w:eastAsia="zh-CN"/>
        </w:rPr>
        <w:t xml:space="preserve">8</w:t>
      </w:r>
      <w:r>
        <w:rPr>
          <w:rFonts w:hint="eastAsia" w:ascii="Times New Roman" w:hAnsi="Times New Roman" w:eastAsia="宋体" w:cs="宋体"/>
          <w:color w:val="auto"/>
          <w:highlight w:val="none"/>
        </w:rPr>
        <w:t xml:space="preserve">日上午09：30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5393794"/>
      <w:r/>
      <w:bookmarkStart w:id="24" w:name="_Toc35393625"/>
      <w:r/>
      <w:bookmarkStart w:id="25" w:name="_Toc28359007"/>
      <w:r/>
      <w:bookmarkStart w:id="26" w:name="_Toc38985267"/>
      <w:r/>
      <w:bookmarkStart w:id="27" w:name="_Toc2835908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8985268"/>
      <w:r/>
      <w:bookmarkStart w:id="29" w:name="_Toc35393795"/>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08"/>
      <w:r/>
      <w:bookmarkStart w:id="32" w:name="_Toc35393627"/>
      <w:r/>
      <w:bookmarkStart w:id="33" w:name="_Toc35393796"/>
      <w:r/>
      <w:bookmarkStart w:id="34" w:name="_Toc38985269"/>
      <w:r/>
      <w:bookmarkStart w:id="35" w:name="_Toc28359085"/>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10"/>
      <w:r/>
      <w:bookmarkStart w:id="37"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lang w:eastAsia="zh-CN"/>
        </w:rPr>
        <w:t xml:space="preserve">扬州市公安局</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09"/>
      <w:r/>
      <w:bookmarkStart w:id="39" w:name="_Toc28359086"/>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邗江区润扬中路98号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联系人：王成</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联系方式：13905271668</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rPr>
        <w:t xml:space="preserve">张瑜、</w:t>
      </w:r>
      <w:r>
        <w:rPr>
          <w:rFonts w:hint="eastAsia" w:ascii="Times New Roman" w:hAnsi="Times New Roman"/>
          <w:color w:val="auto"/>
          <w:szCs w:val="21"/>
          <w:highlight w:val="none"/>
          <w:lang w:eastAsia="zh-CN"/>
        </w:rPr>
        <w:t xml:space="preserve">袁玲</w:t>
      </w:r>
      <w:r/>
    </w:p>
    <w:p>
      <w:pPr>
        <w:ind w:firstLine="420"/>
        <w:pageBreakBefore w:val="0"/>
        <w:spacing w:line="360" w:lineRule="auto"/>
        <w:rPr>
          <w:rFonts w:hint="eastAsia" w:ascii="Times New Roman" w:hAnsi="Times New Roman" w:eastAsia="宋体" w:cs="宋体"/>
          <w:color w:val="auto"/>
          <w:highlight w:val="none"/>
          <w:u w:val="single"/>
          <w:lang w:eastAsia="zh-CN"/>
        </w:rPr>
      </w:pPr>
      <w:r>
        <w:rPr>
          <w:rFonts w:hint="eastAsia" w:ascii="Times New Roman" w:hAnsi="Times New Roman" w:eastAsia="宋体" w:cs="宋体"/>
          <w:color w:val="auto"/>
          <w:highlight w:val="none"/>
        </w:rPr>
        <w:t xml:space="preserve">联系方式：</w:t>
      </w:r>
      <w:r>
        <w:rPr>
          <w:rFonts w:hint="eastAsia" w:ascii="Times New Roman" w:hAnsi="Times New Roman"/>
          <w:color w:val="auto"/>
          <w:szCs w:val="21"/>
          <w:highlight w:val="none"/>
          <w:lang w:eastAsia="zh-CN"/>
        </w:rPr>
        <w:t xml:space="preserve">0514-87986785</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eastAsia" w:ascii="Times New Roman" w:hAnsi="Times New Roman"/>
          <w:color w:val="auto"/>
          <w:szCs w:val="21"/>
          <w:highlight w:val="none"/>
          <w:lang w:val="en-US" w:eastAsia="zh-CN"/>
        </w:rPr>
        <w:t xml:space="preserve">04</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16</w:t>
      </w:r>
      <w:r>
        <w:rPr>
          <w:rFonts w:hint="eastAsia" w:ascii="Times New Roman" w:hAnsi="Times New Roman" w:eastAsia="宋体"/>
          <w:color w:val="auto"/>
          <w:szCs w:val="21"/>
          <w:highlight w:val="none"/>
        </w:rPr>
        <w:t xml:space="preserve">日</w:t>
      </w:r>
      <w:r/>
    </w:p>
    <w:p>
      <w:pPr>
        <w:pStyle w:val="884"/>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4"/>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JSZC-321000-SWGC-G2026-0044</w:t>
      </w:r>
      <w:r>
        <w:rPr>
          <w:rFonts w:hint="eastAsia" w:ascii="Times New Roman" w:hAnsi="Times New Roman" w:eastAsia="宋体"/>
          <w:bCs/>
          <w:color w:val="auto"/>
          <w:szCs w:val="21"/>
          <w:highlight w:val="none"/>
        </w:rPr>
        <w:t xml:space="preserve">号项目。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eastAsia="宋体"/>
          <w:b/>
          <w:bCs/>
          <w:color w:val="auto"/>
          <w:szCs w:val="21"/>
          <w:highlight w:val="none"/>
          <w:lang w:val="en-US" w:eastAsia="zh-CN"/>
        </w:rPr>
        <w:t xml:space="preserve">中标人</w:t>
      </w:r>
      <w:r>
        <w:rPr>
          <w:rFonts w:hint="eastAsia" w:ascii="Times New Roman" w:hAnsi="Times New Roman" w:eastAsia="宋体"/>
          <w:b/>
          <w:bCs/>
          <w:color w:val="auto"/>
          <w:szCs w:val="21"/>
          <w:highlight w:val="none"/>
        </w:rPr>
        <w:t xml:space="preserve">在领取</w:t>
      </w:r>
      <w:r>
        <w:rPr>
          <w:rFonts w:hint="eastAsia" w:ascii="Times New Roman" w:hAnsi="Times New Roman" w:eastAsia="宋体"/>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通知书前按照国家计委印发的《招标代理服务收费管理暂行办法》（计价格〔2002〕1980号文）服务类标准一次性支付给招标代理机构代理服务费。</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（3）代理服务费不在报价中单列，由</w:t>
      </w:r>
      <w:r>
        <w:rPr>
          <w:rFonts w:hint="eastAsia" w:ascii="Times New Roman" w:hAnsi="Times New Roman"/>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人支付给代理机构。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代理服务费开户银行：中国工商银行扬州雍华府支行</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开户名称：江苏苏维工程管理有限公司</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开户账号：1108020819100000612</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12.6投标配置与分项报价表上的价格应按下列方式分开填写：</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2、项目单价按投标配置及分项报价表中要求填报。</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13、技术参数响应及偏离表、商务条款响应及偏离表及投标货物说明</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13.4详细阐述所投货物的主要组成部分、功能设计、实现思路及关键技术；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13.5投标人认为需要的其他技术文件或说明。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462564084"/>
      <w:r/>
      <w:bookmarkStart w:id="43" w:name="_Toc513029225"/>
      <w:r/>
      <w:bookmarkStart w:id="44" w:name="_Toc20823297"/>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513029226"/>
      <w:r/>
      <w:bookmarkStart w:id="48" w:name="_Toc20823298"/>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513029227"/>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16938544"/>
      <w:r/>
      <w:bookmarkStart w:id="53" w:name="_Toc20823300"/>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w:t>
      </w:r>
      <w:r>
        <w:rPr>
          <w:rFonts w:hint="eastAsia" w:ascii="Times New Roman" w:hAnsi="Times New Roman" w:eastAsia="宋体"/>
          <w:bCs/>
          <w:color w:val="auto"/>
          <w:szCs w:val="21"/>
          <w:highlight w:val="none"/>
        </w:rPr>
        <w:t xml:space="preserve">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w:t>
      </w:r>
      <w:r>
        <w:rPr>
          <w:rFonts w:hint="eastAsia" w:ascii="Times New Roman" w:hAnsi="Times New Roman"/>
          <w:bCs/>
          <w:color w:val="auto"/>
          <w:szCs w:val="21"/>
          <w:highlight w:val="none"/>
          <w:lang w:val="en-US" w:eastAsia="zh-CN"/>
        </w:rPr>
        <w:t xml:space="preserve">9</w:t>
      </w:r>
      <w:r>
        <w:rPr>
          <w:rFonts w:hint="eastAsia" w:ascii="Times New Roman" w:hAnsi="Times New Roman" w:eastAsia="宋体"/>
          <w:bCs/>
          <w:color w:val="auto"/>
          <w:szCs w:val="21"/>
          <w:highlight w:val="none"/>
        </w:rPr>
        <w:t xml:space="preserve">.1评标过程中出现下列情形之一的，评标委员会应当启动异常低价投标审查程</w:t>
      </w:r>
      <w:r>
        <w:rPr>
          <w:rFonts w:hint="eastAsia" w:ascii="宋体" w:hAnsi="宋体" w:eastAsia="宋体" w:cs="宋体"/>
          <w:bCs/>
          <w:color w:val="auto"/>
          <w:szCs w:val="21"/>
          <w:highlight w:val="none"/>
        </w:rPr>
        <w:t xml:space="preserve">序:</w:t>
      </w:r>
      <w:r/>
    </w:p>
    <w:p>
      <w:pPr>
        <w:ind w:firstLine="42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投标(响应)报价低于全部通过符合性审查供应商投标(响应)报价平均值50%的，即投标(响应)报价〈全部通过符合性审查供应商投标(响应)报价平均值X50%</w:t>
      </w:r>
      <w:r>
        <w:rPr>
          <w:rFonts w:hint="eastAsia" w:ascii="宋体" w:hAnsi="宋体" w:eastAsia="宋体" w:cs="宋体"/>
          <w:bCs/>
          <w:color w:val="auto"/>
          <w:szCs w:val="21"/>
          <w:highlight w:val="none"/>
          <w:lang w:eastAsia="zh-CN"/>
        </w:rPr>
        <w:t xml:space="preserve">；</w:t>
      </w:r>
      <w:r/>
    </w:p>
    <w:p>
      <w:pPr>
        <w:ind w:firstLine="42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bCs/>
          <w:color w:val="auto"/>
          <w:szCs w:val="21"/>
          <w:highlight w:val="none"/>
          <w:lang w:eastAsia="zh-CN"/>
        </w:rPr>
        <w:t xml:space="preserve">；</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3.投标(响应)报价低于采购项目最高限价45%的，即投标(响应)报价&lt;采购项目最高限价X45%;</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pageBreakBefore w:val="0"/>
        <w:spacing w:line="360" w:lineRule="auto"/>
        <w:rPr>
          <w:rFonts w:ascii="Times New Roman" w:hAnsi="Times New Roman" w:eastAsia="宋体"/>
          <w:bCs/>
          <w:color w:val="auto"/>
          <w:szCs w:val="21"/>
          <w:highlight w:val="none"/>
        </w:rPr>
      </w:pPr>
      <w:r>
        <w:rPr>
          <w:rFonts w:hint="eastAsia" w:ascii="宋体" w:hAnsi="宋体" w:eastAsia="宋体" w:cs="宋体"/>
          <w:bCs/>
          <w:color w:val="auto"/>
          <w:szCs w:val="21"/>
          <w:highlight w:val="none"/>
        </w:rPr>
        <w:t xml:space="preserve">25.</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w:t>
      </w:r>
      <w:r>
        <w:rPr>
          <w:rFonts w:hint="eastAsia" w:ascii="Times New Roman" w:hAnsi="Times New Roman" w:eastAsia="宋体"/>
          <w:bCs/>
          <w:color w:val="auto"/>
          <w:szCs w:val="21"/>
          <w:highlight w:val="none"/>
        </w:rPr>
        <w:t xml:space="preserve">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w:t>
      </w:r>
      <w:r>
        <w:rPr>
          <w:rFonts w:hint="eastAsia" w:ascii="Times New Roman" w:hAnsi="Times New Roman" w:eastAsia="宋体"/>
          <w:bCs/>
          <w:color w:val="auto"/>
          <w:szCs w:val="21"/>
          <w:highlight w:val="none"/>
        </w:rPr>
        <w:t xml:space="preserve">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w:t>
      </w:r>
      <w:r>
        <w:rPr>
          <w:rFonts w:hint="eastAsia" w:ascii="Times New Roman" w:hAnsi="Times New Roman" w:eastAsia="宋体"/>
          <w:bCs/>
          <w:color w:val="auto"/>
          <w:szCs w:val="21"/>
          <w:highlight w:val="none"/>
        </w:rPr>
        <w:t xml:space="preserve">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w:t>
      </w:r>
      <w:r>
        <w:rPr>
          <w:rFonts w:hint="eastAsia" w:ascii="Times New Roman" w:hAnsi="Times New Roman" w:eastAsia="宋体"/>
          <w:bCs/>
          <w:color w:val="auto"/>
          <w:szCs w:val="21"/>
          <w:highlight w:val="none"/>
        </w:rPr>
        <w:t xml:space="preserve">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33、其他</w:t>
      </w:r>
      <w:r>
        <w:rPr>
          <w:rFonts w:hint="eastAsia" w:ascii="Times New Roman" w:hAnsi="Times New Roman" w:eastAsia="宋体" w:cs="宋体"/>
          <w:color w:val="auto"/>
          <w:highlight w:val="none"/>
        </w:rPr>
        <w:br/>
      </w: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84"/>
        <w:jc w:val="center"/>
        <w:pageBreakBefore w:val="0"/>
        <w:spacing w:before="0" w:after="0" w:line="360" w:lineRule="auto"/>
        <w:rPr>
          <w:rFonts w:ascii="Times New Roman" w:hAnsi="Times New Roman" w:eastAsia="宋体"/>
          <w:color w:val="auto"/>
          <w:sz w:val="36"/>
          <w:szCs w:val="36"/>
          <w:highlight w:val="none"/>
        </w:rPr>
      </w:pPr>
      <w:r/>
      <w:bookmarkStart w:id="55" w:name="_Toc55204179"/>
      <w:r/>
      <w:bookmarkStart w:id="56" w:name="_Toc1393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5"/>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扬州市警务技能训练基地后勤托管一体化服务项目</w:t>
      </w:r>
      <w:r>
        <w:rPr>
          <w:rFonts w:hint="eastAsia" w:ascii="Times New Roman" w:hAnsi="Times New Roman" w:eastAsia="宋体"/>
          <w:color w:val="auto"/>
          <w:sz w:val="21"/>
          <w:highlight w:val="none"/>
        </w:rPr>
        <w:t xml:space="preserve">               </w:t>
      </w:r>
      <w:r/>
    </w:p>
    <w:p>
      <w:pPr>
        <w:pStyle w:val="89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JSZC-321000-SWGC-G2026-0044</w:t>
      </w:r>
      <w:r>
        <w:rPr>
          <w:rFonts w:hint="eastAsia" w:ascii="Times New Roman" w:hAnsi="Times New Roman" w:eastAsia="宋体"/>
          <w:color w:val="auto"/>
          <w:sz w:val="21"/>
          <w:highlight w:val="none"/>
          <w:lang w:eastAsia="zh-CN"/>
        </w:rPr>
        <w:t xml:space="preserve">号</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甲方：（买方）扬州市公安局</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1.6履行方式</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合同单价详见附件，最终结算总价不得超过预算总价。</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合同签订后，乙方向甲方开具发票，甲方自收到发票之日起10个工作日内，支付乙方合同总价30%的预付款；</w:t>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服务开始后，剩余合同总价的70%，甲乙双方按</w:t>
      </w:r>
      <w:r>
        <w:rPr>
          <w:rFonts w:hint="eastAsia" w:ascii="Times New Roman" w:hAnsi="Times New Roman" w:cs="宋体"/>
          <w:color w:val="auto"/>
          <w:szCs w:val="21"/>
          <w:highlight w:val="none"/>
          <w:lang w:val="en-US" w:eastAsia="zh-CN"/>
        </w:rPr>
        <w:t xml:space="preserve">季度</w:t>
      </w:r>
      <w:r>
        <w:rPr>
          <w:rFonts w:hint="eastAsia" w:ascii="Times New Roman" w:hAnsi="Times New Roman" w:eastAsia="宋体" w:cs="宋体"/>
          <w:color w:val="auto"/>
          <w:szCs w:val="21"/>
          <w:highlight w:val="none"/>
        </w:rPr>
        <w:t xml:space="preserve">结算服务费用。每</w:t>
      </w:r>
      <w:r>
        <w:rPr>
          <w:rFonts w:hint="eastAsia" w:ascii="Times New Roman" w:hAnsi="Times New Roman" w:cs="宋体"/>
          <w:color w:val="auto"/>
          <w:szCs w:val="21"/>
          <w:highlight w:val="none"/>
          <w:lang w:val="en-US" w:eastAsia="zh-CN"/>
        </w:rPr>
        <w:t xml:space="preserve">季度</w:t>
      </w:r>
      <w:r>
        <w:rPr>
          <w:rFonts w:hint="eastAsia" w:ascii="Times New Roman" w:hAnsi="Times New Roman" w:eastAsia="宋体" w:cs="宋体"/>
          <w:color w:val="auto"/>
          <w:szCs w:val="21"/>
          <w:highlight w:val="none"/>
        </w:rPr>
        <w:t xml:space="preserve">结束后，甲乙双方按考核结果确定实际支付费用，实际支付费用确定后，甲方自收到发票之日起10个工作日内支付。</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3"/>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3"/>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3"/>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3"/>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5"/>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3"/>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8"/>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甲方： 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4"/>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spacing w:line="360" w:lineRule="auto"/>
        <w:rPr>
          <w:rFonts w:ascii="Times New Roman" w:hAnsi="Times New Roman"/>
          <w:b/>
          <w:bCs/>
          <w:color w:val="auto"/>
          <w:szCs w:val="21"/>
          <w:highlight w:val="none"/>
        </w:rPr>
      </w:pPr>
      <w:r/>
      <w:bookmarkStart w:id="59" w:name="_Toc319408306"/>
      <w:r/>
      <w:bookmarkStart w:id="60" w:name="_Toc55204181"/>
      <w:r>
        <w:rPr>
          <w:rFonts w:hint="eastAsia" w:ascii="Times New Roman" w:hAnsi="Times New Roman"/>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符合证明文件格式</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中准确填写或上传。</w:t>
      </w:r>
      <w:bookmarkEnd w:id="59"/>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项目属性:服务类项目</w:t>
      </w:r>
      <w:r/>
    </w:p>
    <w:p>
      <w:pPr>
        <w:ind w:firstLine="422"/>
        <w:spacing w:line="360" w:lineRule="auto"/>
        <w:rPr>
          <w:rFonts w:hint="eastAsia" w:ascii="宋体" w:hAnsi="宋体" w:cs="宋体"/>
          <w:b/>
          <w:bCs/>
          <w:color w:val="auto"/>
          <w:szCs w:val="21"/>
          <w:highlight w:val="none"/>
        </w:rPr>
      </w:pPr>
      <w:r>
        <w:rPr>
          <w:rFonts w:hint="eastAsia" w:ascii="Times New Roman" w:hAnsi="Times New Roman" w:cs="宋体"/>
          <w:b/>
          <w:bCs/>
          <w:color w:val="auto"/>
          <w:szCs w:val="21"/>
          <w:highlight w:val="none"/>
        </w:rPr>
        <w:t xml:space="preserve">一、采购标的清单</w:t>
      </w:r>
      <w:r>
        <w:rPr>
          <w:rFonts w:hint="eastAsia" w:ascii="宋体" w:hAnsi="宋体" w:cs="宋体"/>
          <w:b/>
          <w:bCs/>
          <w:color w:val="auto"/>
          <w:szCs w:val="21"/>
          <w:highlight w:val="none"/>
        </w:rPr>
        <w:t xml:space="preserve">：</w:t>
      </w:r>
      <w:r/>
    </w:p>
    <w:tbl>
      <w:tblPr>
        <w:tblStyle w:val="88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W w:w="341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341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trHeight w:val="610"/>
        </w:trPr>
        <w:tc>
          <w:tcPr>
            <w:tcW w:w="12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1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扬州市警务技能训练基地后勤托管一体化服务项目</w:t>
            </w:r>
            <w:r/>
          </w:p>
        </w:tc>
        <w:tc>
          <w:tcPr>
            <w:tcW w:w="341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租赁和商务服务业</w:t>
            </w:r>
            <w:r/>
          </w:p>
        </w:tc>
      </w:tr>
    </w:tbl>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二、项目概况</w:t>
      </w:r>
      <w:r/>
    </w:p>
    <w:p>
      <w:pPr>
        <w:ind w:firstLine="420"/>
        <w:spacing w:line="360" w:lineRule="auto"/>
        <w:tabs>
          <w:tab w:val="left" w:pos="900" w:leader="none"/>
        </w:tabs>
        <w:rPr>
          <w:rFonts w:hint="eastAsia" w:ascii="宋体" w:hAnsi="宋体" w:cs="宋体"/>
          <w:bCs/>
          <w:color w:val="auto"/>
          <w:szCs w:val="21"/>
          <w:highlight w:val="none"/>
        </w:rPr>
      </w:pPr>
      <w:r/>
      <w:bookmarkStart w:id="61" w:name="OLE_LINK103"/>
      <w:r/>
      <w:bookmarkStart w:id="62" w:name="OLE_LINK95"/>
      <w:r/>
      <w:bookmarkStart w:id="63" w:name="OLE_LINK94"/>
      <w:r/>
      <w:bookmarkStart w:id="64" w:name="OLE_LINK102"/>
      <w:r>
        <w:rPr>
          <w:rFonts w:hint="eastAsia" w:ascii="宋体" w:hAnsi="宋体" w:cs="宋体"/>
          <w:bCs/>
          <w:color w:val="auto"/>
          <w:szCs w:val="21"/>
          <w:highlight w:val="none"/>
        </w:rPr>
        <w:t xml:space="preserve">扬州市警务技能训练基地</w:t>
      </w:r>
      <w:bookmarkEnd w:id="61"/>
      <w:r/>
      <w:bookmarkEnd w:id="62"/>
      <w:r/>
      <w:bookmarkEnd w:id="63"/>
      <w:r/>
      <w:bookmarkEnd w:id="64"/>
      <w:r>
        <w:rPr>
          <w:rFonts w:hint="eastAsia" w:ascii="宋体" w:hAnsi="宋体" w:cs="宋体"/>
          <w:bCs/>
          <w:color w:val="auto"/>
          <w:szCs w:val="21"/>
          <w:highlight w:val="none"/>
        </w:rPr>
        <w:t xml:space="preserve">位于仪征市月塘镇新镇区月塘中学西侧。该项目是扬州市级政府投资类重大项目，总建筑面积为38713.55平方米。建筑布局以教学楼为核心，采用前庭后院的中国传统布局手法，汲取扬州古代建筑的传统元素，为现代智慧校园融入古典风情。</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基地内功能设施齐全，包括教学用房约12495平方米，含教学楼、图书馆；训练用房约6167平方米，含射击馆、囚渡馆、擒拿格斗训练馆等；住宿用房约11577平方米，食堂约1572平方米，其他附属用房约3034平方米，地下建筑面积约3000平方米。</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实施范围：扬州市警务技能训练基地后勤托管一体化项目服务范围内地上11栋建筑，约35000平方米，地下机动车库，约3000平方米，基地设三个门，南门为主要出入口（24小时值守），东北门为物资运输出入口，西门为内部员工出入口。</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三、项目简要说明</w:t>
      </w:r>
      <w:r/>
    </w:p>
    <w:p>
      <w:pPr>
        <w:ind w:firstLine="420"/>
        <w:spacing w:line="360" w:lineRule="auto"/>
        <w:rPr>
          <w:rFonts w:hint="eastAsia" w:ascii="宋体" w:hAnsi="宋体" w:cs="宋体"/>
          <w:bCs/>
          <w:iCs/>
          <w:color w:val="auto"/>
          <w:szCs w:val="21"/>
          <w:highlight w:val="none"/>
        </w:rPr>
      </w:pPr>
      <w:r/>
      <w:bookmarkStart w:id="65" w:name="OLE_LINK108"/>
      <w:r/>
      <w:bookmarkStart w:id="66" w:name="OLE_LINK104"/>
      <w:r/>
      <w:bookmarkStart w:id="67" w:name="OLE_LINK110"/>
      <w:r/>
      <w:bookmarkStart w:id="68" w:name="OLE_LINK111"/>
      <w:r/>
      <w:bookmarkStart w:id="69" w:name="OLE_LINK107"/>
      <w:r/>
      <w:bookmarkStart w:id="70" w:name="OLE_LINK109"/>
      <w:r/>
      <w:bookmarkStart w:id="71" w:name="OLE_LINK105"/>
      <w:r/>
      <w:bookmarkStart w:id="72" w:name="OLE_LINK106"/>
      <w:r>
        <w:rPr>
          <w:rFonts w:hint="eastAsia" w:ascii="宋体" w:hAnsi="宋体" w:cs="宋体"/>
          <w:bCs/>
          <w:color w:val="auto"/>
          <w:szCs w:val="21"/>
          <w:highlight w:val="none"/>
        </w:rPr>
        <w:t xml:space="preserve">扬州市警务技能训练基地</w:t>
      </w:r>
      <w:bookmarkEnd w:id="65"/>
      <w:r/>
      <w:bookmarkEnd w:id="66"/>
      <w:r/>
      <w:bookmarkEnd w:id="67"/>
      <w:r/>
      <w:bookmarkEnd w:id="68"/>
      <w:r/>
      <w:bookmarkEnd w:id="69"/>
      <w:r/>
      <w:bookmarkEnd w:id="70"/>
      <w:r/>
      <w:bookmarkEnd w:id="71"/>
      <w:r/>
      <w:bookmarkEnd w:id="72"/>
      <w:r>
        <w:rPr>
          <w:rFonts w:hint="eastAsia" w:ascii="宋体" w:hAnsi="宋体" w:cs="宋体"/>
          <w:bCs/>
          <w:iCs/>
          <w:color w:val="auto"/>
          <w:szCs w:val="21"/>
          <w:highlight w:val="none"/>
        </w:rPr>
        <w:t xml:space="preserve">项目服务区域内（</w:t>
      </w:r>
      <w:bookmarkStart w:id="73" w:name="OLE_LINK266"/>
      <w:r/>
      <w:bookmarkStart w:id="74" w:name="OLE_LINK265"/>
      <w:r/>
      <w:bookmarkStart w:id="75" w:name="OLE_LINK262"/>
      <w:r/>
      <w:bookmarkStart w:id="76" w:name="OLE_LINK264"/>
      <w:r/>
      <w:bookmarkStart w:id="77" w:name="OLE_LINK263"/>
      <w:r>
        <w:rPr>
          <w:rFonts w:hint="eastAsia" w:ascii="宋体" w:hAnsi="宋体" w:cs="宋体"/>
          <w:bCs/>
          <w:iCs/>
          <w:color w:val="auto"/>
          <w:szCs w:val="21"/>
          <w:highlight w:val="none"/>
        </w:rPr>
        <w:t xml:space="preserve">项目负责人1人，项目主管1人，秩序维护队长1人</w:t>
      </w:r>
      <w:r>
        <w:rPr>
          <w:rFonts w:hint="eastAsia" w:ascii="宋体" w:hAnsi="宋体" w:cs="宋体"/>
          <w:bCs/>
          <w:iCs/>
          <w:color w:val="auto"/>
          <w:szCs w:val="21"/>
          <w:highlight w:val="none"/>
        </w:rPr>
        <w:t xml:space="preserve">，秩序维护员6人，</w:t>
      </w:r>
      <w:bookmarkStart w:id="78" w:name="OLE_LINK285"/>
      <w:r/>
      <w:bookmarkStart w:id="79" w:name="OLE_LINK286"/>
      <w:r>
        <w:rPr>
          <w:rFonts w:hint="eastAsia" w:ascii="宋体" w:hAnsi="宋体" w:cs="宋体"/>
          <w:bCs/>
          <w:iCs/>
          <w:color w:val="auto"/>
          <w:szCs w:val="21"/>
          <w:highlight w:val="none"/>
        </w:rPr>
        <w:t xml:space="preserve">监控</w:t>
      </w:r>
      <w:r>
        <w:rPr>
          <w:rFonts w:hint="eastAsia" w:ascii="宋体" w:hAnsi="宋体" w:cs="宋体"/>
          <w:bCs/>
          <w:iCs/>
          <w:color w:val="auto"/>
          <w:szCs w:val="21"/>
          <w:highlight w:val="none"/>
        </w:rPr>
        <w:t xml:space="preserve">室值班人员</w:t>
      </w:r>
      <w:bookmarkEnd w:id="78"/>
      <w:r/>
      <w:bookmarkEnd w:id="79"/>
      <w:r>
        <w:rPr>
          <w:rFonts w:hint="eastAsia" w:ascii="宋体" w:hAnsi="宋体" w:cs="宋体"/>
          <w:bCs/>
          <w:iCs/>
          <w:color w:val="auto"/>
          <w:szCs w:val="21"/>
          <w:highlight w:val="none"/>
        </w:rPr>
        <w:t xml:space="preserve">5人，</w:t>
      </w:r>
      <w:bookmarkStart w:id="80" w:name="OLE_LINK288"/>
      <w:r/>
      <w:bookmarkStart w:id="81" w:name="OLE_LINK287"/>
      <w:r>
        <w:rPr>
          <w:rFonts w:hint="eastAsia" w:ascii="宋体" w:hAnsi="宋体" w:cs="宋体"/>
          <w:bCs/>
          <w:iCs/>
          <w:color w:val="auto"/>
          <w:szCs w:val="21"/>
          <w:highlight w:val="none"/>
        </w:rPr>
        <w:t xml:space="preserve">会务主管</w:t>
      </w:r>
      <w:bookmarkEnd w:id="80"/>
      <w:r/>
      <w:bookmarkEnd w:id="81"/>
      <w:r>
        <w:rPr>
          <w:rFonts w:hint="eastAsia" w:ascii="宋体" w:hAnsi="宋体" w:cs="宋体"/>
          <w:bCs/>
          <w:iCs/>
          <w:color w:val="auto"/>
          <w:szCs w:val="21"/>
          <w:highlight w:val="none"/>
        </w:rPr>
        <w:t xml:space="preserve">1人，</w:t>
      </w:r>
      <w:bookmarkStart w:id="82" w:name="OLE_LINK289"/>
      <w:r/>
      <w:bookmarkStart w:id="83" w:name="OLE_LINK290"/>
      <w:r>
        <w:rPr>
          <w:rFonts w:hint="eastAsia" w:ascii="宋体" w:hAnsi="宋体" w:cs="宋体"/>
          <w:bCs/>
          <w:iCs/>
          <w:color w:val="auto"/>
          <w:szCs w:val="21"/>
          <w:highlight w:val="none"/>
        </w:rPr>
        <w:t xml:space="preserve">会务接待</w:t>
      </w:r>
      <w:bookmarkEnd w:id="82"/>
      <w:r/>
      <w:bookmarkEnd w:id="83"/>
      <w:r>
        <w:rPr>
          <w:rFonts w:hint="eastAsia" w:ascii="宋体" w:hAnsi="宋体" w:cs="宋体"/>
          <w:bCs/>
          <w:iCs/>
          <w:color w:val="auto"/>
          <w:szCs w:val="21"/>
          <w:highlight w:val="none"/>
        </w:rPr>
        <w:t xml:space="preserve">4人，</w:t>
      </w:r>
      <w:bookmarkStart w:id="84" w:name="OLE_LINK291"/>
      <w:r/>
      <w:bookmarkStart w:id="85" w:name="OLE_LINK292"/>
      <w:r>
        <w:rPr>
          <w:rFonts w:hint="eastAsia" w:ascii="宋体" w:hAnsi="宋体" w:cs="宋体"/>
          <w:bCs/>
          <w:iCs/>
          <w:color w:val="auto"/>
          <w:szCs w:val="21"/>
          <w:highlight w:val="none"/>
        </w:rPr>
        <w:t xml:space="preserve">总服务台1人，宿舍管理员</w:t>
      </w:r>
      <w:bookmarkEnd w:id="84"/>
      <w:r/>
      <w:bookmarkEnd w:id="85"/>
      <w:r>
        <w:rPr>
          <w:rFonts w:hint="eastAsia" w:ascii="宋体" w:hAnsi="宋体" w:cs="宋体"/>
          <w:bCs/>
          <w:iCs/>
          <w:color w:val="auto"/>
          <w:szCs w:val="21"/>
          <w:highlight w:val="none"/>
        </w:rPr>
        <w:t xml:space="preserve">4人，楼层管理员4人，设备设施运营保障人员1人，食堂厨师3人，食堂勤杂兼服务员3人，合计35人</w:t>
      </w:r>
      <w:bookmarkEnd w:id="73"/>
      <w:r/>
      <w:bookmarkEnd w:id="74"/>
      <w:r/>
      <w:bookmarkEnd w:id="75"/>
      <w:r/>
      <w:bookmarkEnd w:id="76"/>
      <w:r/>
      <w:bookmarkEnd w:id="77"/>
      <w:r>
        <w:rPr>
          <w:rFonts w:hint="eastAsia" w:ascii="宋体" w:hAnsi="宋体" w:cs="宋体"/>
          <w:bCs/>
          <w:iCs/>
          <w:color w:val="auto"/>
          <w:szCs w:val="21"/>
          <w:highlight w:val="none"/>
        </w:rPr>
        <w:t xml:space="preserve">）</w:t>
      </w:r>
      <w:bookmarkStart w:id="86" w:name="OLE_LINK9"/>
      <w:r/>
      <w:bookmarkStart w:id="87" w:name="OLE_LINK8"/>
      <w:r>
        <w:rPr>
          <w:rFonts w:hint="eastAsia" w:ascii="宋体" w:hAnsi="宋体" w:cs="宋体"/>
          <w:bCs/>
          <w:iCs/>
          <w:color w:val="auto"/>
          <w:szCs w:val="21"/>
          <w:highlight w:val="none"/>
        </w:rPr>
        <w:t xml:space="preserve">后勤托管一体化</w:t>
      </w:r>
      <w:r>
        <w:rPr>
          <w:rFonts w:hint="eastAsia" w:ascii="宋体" w:hAnsi="宋体" w:cs="宋体"/>
          <w:bCs/>
          <w:iCs/>
          <w:color w:val="auto"/>
          <w:szCs w:val="21"/>
          <w:highlight w:val="none"/>
        </w:rPr>
        <w:t xml:space="preserve">服务</w:t>
      </w:r>
      <w:bookmarkEnd w:id="86"/>
      <w:r/>
      <w:bookmarkEnd w:id="87"/>
      <w:r>
        <w:rPr>
          <w:rFonts w:hint="eastAsia" w:ascii="宋体" w:hAnsi="宋体" w:cs="宋体"/>
          <w:bCs/>
          <w:iCs/>
          <w:color w:val="auto"/>
          <w:szCs w:val="21"/>
          <w:highlight w:val="none"/>
        </w:rPr>
        <w:t xml:space="preserve">，包括但不限于：</w:t>
      </w:r>
      <w:bookmarkStart w:id="88" w:name="OLE_LINK232"/>
      <w:r/>
      <w:bookmarkStart w:id="89" w:name="OLE_LINK236"/>
      <w:r/>
      <w:bookmarkStart w:id="90" w:name="OLE_LINK231"/>
      <w:r/>
      <w:bookmarkStart w:id="91" w:name="OLE_LINK15"/>
      <w:r/>
      <w:bookmarkStart w:id="92" w:name="OLE_LINK14"/>
      <w:r/>
      <w:bookmarkStart w:id="93" w:name="OLE_LINK1"/>
      <w:r>
        <w:rPr>
          <w:rFonts w:hint="eastAsia" w:ascii="宋体" w:hAnsi="宋体" w:cs="宋体"/>
          <w:bCs/>
          <w:iCs/>
          <w:color w:val="auto"/>
          <w:szCs w:val="21"/>
          <w:highlight w:val="none"/>
        </w:rPr>
        <w:t xml:space="preserve">秩序管理、车辆管理、安全监控、会务接待服务、总服务台服务，宿舍管理服务、楼层管理服务、专业设备设施运营保障服务、食堂服务、突发事件应急管理</w:t>
      </w:r>
      <w:bookmarkEnd w:id="88"/>
      <w:r/>
      <w:bookmarkEnd w:id="89"/>
      <w:r/>
      <w:bookmarkEnd w:id="90"/>
      <w:r>
        <w:rPr>
          <w:rFonts w:hint="eastAsia" w:ascii="宋体" w:hAnsi="宋体" w:cs="宋体"/>
          <w:bCs/>
          <w:iCs/>
          <w:color w:val="auto"/>
          <w:szCs w:val="21"/>
          <w:highlight w:val="none"/>
        </w:rPr>
        <w:t xml:space="preserve">等</w:t>
      </w:r>
      <w:bookmarkEnd w:id="91"/>
      <w:r/>
      <w:bookmarkEnd w:id="92"/>
      <w:r>
        <w:rPr>
          <w:rFonts w:hint="eastAsia" w:ascii="宋体" w:hAnsi="宋体" w:cs="宋体"/>
          <w:bCs/>
          <w:iCs/>
          <w:color w:val="auto"/>
          <w:szCs w:val="21"/>
          <w:highlight w:val="none"/>
        </w:rPr>
        <w:t xml:space="preserve">后勤托管一体化服务保障</w:t>
      </w:r>
      <w:bookmarkEnd w:id="93"/>
      <w:r>
        <w:rPr>
          <w:rFonts w:hint="eastAsia" w:ascii="宋体" w:hAnsi="宋体" w:cs="宋体"/>
          <w:bCs/>
          <w:iCs/>
          <w:color w:val="auto"/>
          <w:szCs w:val="21"/>
          <w:highlight w:val="none"/>
        </w:rPr>
        <w:t xml:space="preserve">。</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四、后勤托管一体化相关服务内容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本项目配置专业团队，以“安全优先、服务规范”为原则，提供全方位后勤托管一体化服务，具体内容如下：</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1、秩序管理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24小时值守巡逻，管控人员物资进出，核验身份、登记货物；维护公共秩序与安全标识，排查消防防盗隐患，处置突发安全事件并上报。</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2、车辆管理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登记核验进出车辆，引导有序停放；保障基地通道、消防通道畅通，特殊时段制定疏导方案，协助防范车辆安全风险。</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3、安全监控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24小时轮班监测重点区域监控画面，记录异常并及时上报；维护监控设备，保障录像完整，协助调取数据，严守数据保密制度。</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4、会务接待服务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承接会议筹备（布置、调试设备）、接待引导、会中保障及会后收尾，协助涉外事务接待，解答后勤咨询。</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5、总服务台服务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登记接待访客，解答后勤咨询；接收报修需求并转办跟踪，传达通知文件，维护服务区域标识与环境。</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6、宿舍管理服务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负责基地宿舍清洁消毒、床品更换与物品补给；检查宿舍设施，接收住宿人员需求并快速响应，保障住宿环境整洁舒适。</w:t>
      </w:r>
      <w:r/>
    </w:p>
    <w:p>
      <w:pPr>
        <w:ind w:firstLine="420"/>
        <w:spacing w:line="360" w:lineRule="auto"/>
        <w:tabs>
          <w:tab w:val="left" w:pos="900" w:leader="none"/>
        </w:tabs>
        <w:rPr>
          <w:rFonts w:hint="eastAsia" w:ascii="宋体" w:hAnsi="宋体" w:cs="宋体"/>
          <w:bCs/>
          <w:color w:val="auto"/>
          <w:szCs w:val="21"/>
          <w:highlight w:val="none"/>
        </w:rPr>
      </w:pPr>
      <w:r/>
      <w:bookmarkStart w:id="94" w:name="OLE_LINK28"/>
      <w:r/>
      <w:bookmarkStart w:id="95" w:name="OLE_LINK29"/>
      <w:r>
        <w:rPr>
          <w:rFonts w:hint="eastAsia" w:ascii="宋体" w:hAnsi="宋体" w:cs="宋体"/>
          <w:bCs/>
          <w:color w:val="auto"/>
          <w:szCs w:val="21"/>
          <w:highlight w:val="none"/>
        </w:rPr>
        <w:t xml:space="preserve">7、楼层管理服务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巡查楼层公共区域，维护环境卫生与秩序；管理楼层设施，处理突发问题，协助传达基地通知。</w:t>
      </w:r>
      <w:bookmarkEnd w:id="94"/>
      <w:r/>
      <w:bookmarkEnd w:id="9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8、专业设备设施运营保障服务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全面巡查基地各类设备设施，涵盖给排水、供电、暖通、消防、电梯等系统；记录运行参数与设备状态，及时发现故障隐患并上报处理，保障设施正常运转。   </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9、食堂服务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厨师负责营养配餐与餐食制作，保障食品安全；勤杂人员承担食材清洗、餐具消毒及餐厅清洁，规范服务流程。</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10、突发事件应急管理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制定各类突发公共事件应急预案，组织培训演习；事发时快速响应，采取控险措施，及时上报并配合专职部门处置。</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11、绿色后勤保障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通过科学管理降低能耗，节约水电资源；推行环保举措，减少浪费，助力基地绿色发展。</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bookmarkStart w:id="96" w:name="OLE_LINK196"/>
      <w:r/>
      <w:bookmarkStart w:id="97" w:name="OLE_LINK197"/>
      <w:r>
        <w:rPr>
          <w:rFonts w:hint="eastAsia" w:ascii="宋体" w:hAnsi="宋体" w:cs="宋体"/>
          <w:b/>
          <w:bCs/>
          <w:color w:val="auto"/>
          <w:szCs w:val="21"/>
          <w:highlight w:val="none"/>
        </w:rPr>
        <w:t xml:space="preserve">后勤托管一体化服务</w:t>
      </w:r>
      <w:bookmarkEnd w:id="96"/>
      <w:r/>
      <w:bookmarkEnd w:id="97"/>
      <w:r>
        <w:rPr>
          <w:rFonts w:hint="eastAsia" w:ascii="宋体" w:hAnsi="宋体" w:cs="宋体"/>
          <w:b/>
          <w:bCs/>
          <w:color w:val="auto"/>
          <w:szCs w:val="21"/>
          <w:highlight w:val="none"/>
        </w:rPr>
        <w:t xml:space="preserve">配备人员及基本要求</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1、人员配置表：</w:t>
      </w:r>
      <w:r/>
    </w:p>
    <w:tbl>
      <w:tblPr>
        <w:tblStyle w:val="888"/>
        <w:tblW w:w="5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89"/>
        <w:gridCol w:w="751"/>
        <w:gridCol w:w="943"/>
        <w:gridCol w:w="1406"/>
        <w:gridCol w:w="1250"/>
        <w:gridCol w:w="3401"/>
      </w:tblGrid>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bookmarkStart w:id="98" w:name="OLE_LINK2"/>
            <w:r/>
            <w:bookmarkStart w:id="99" w:name="OLE_LINK7"/>
            <w:r>
              <w:rPr>
                <w:rFonts w:hint="eastAsia" w:ascii="宋体" w:hAnsi="宋体" w:cs="宋体"/>
                <w:b/>
                <w:color w:val="auto"/>
                <w:szCs w:val="21"/>
                <w:highlight w:val="none"/>
              </w:rPr>
              <w:t xml:space="preserve">序号</w:t>
            </w:r>
            <w:r/>
          </w:p>
        </w:tc>
        <w:tc>
          <w:tcPr>
            <w:tcW w:w="659"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岗位</w:t>
            </w:r>
            <w:r/>
          </w:p>
        </w:tc>
        <w:tc>
          <w:tcPr>
            <w:tcW w:w="38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人数</w:t>
            </w:r>
            <w:r/>
          </w:p>
        </w:tc>
        <w:tc>
          <w:tcPr>
            <w:tcW w:w="482"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性别</w:t>
            </w:r>
            <w:r/>
          </w:p>
        </w:tc>
        <w:tc>
          <w:tcPr>
            <w:tcW w:w="719"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年龄</w:t>
            </w:r>
            <w:r/>
          </w:p>
        </w:tc>
        <w:tc>
          <w:tcPr>
            <w:tcW w:w="639"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文化程度</w:t>
            </w:r>
            <w:r/>
          </w:p>
        </w:tc>
        <w:tc>
          <w:tcPr>
            <w:tcW w:w="1739"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482" w:type="pct"/>
            <w:vAlign w:val="center"/>
            <w:textDirection w:val="lrTb"/>
            <w:noWrap w:val="false"/>
          </w:tcPr>
          <w:p>
            <w:pPr>
              <w:jc w:val="center"/>
              <w:widowControl/>
              <w:rPr>
                <w:rFonts w:hint="eastAsia" w:ascii="宋体" w:hAnsi="宋体" w:cs="宋体"/>
                <w:color w:val="auto"/>
                <w:szCs w:val="21"/>
                <w:highlight w:val="none"/>
              </w:rPr>
            </w:pPr>
            <w:r/>
            <w:bookmarkStart w:id="100" w:name="OLE_LINK31"/>
            <w:r/>
            <w:bookmarkStart w:id="101" w:name="OLE_LINK30"/>
            <w:r>
              <w:rPr>
                <w:rFonts w:hint="eastAsia" w:ascii="宋体" w:hAnsi="宋体" w:cs="宋体"/>
                <w:color w:val="auto"/>
                <w:szCs w:val="21"/>
                <w:highlight w:val="none"/>
              </w:rPr>
              <w:t xml:space="preserve">男女不限</w:t>
            </w:r>
            <w:bookmarkEnd w:id="100"/>
            <w:r/>
            <w:bookmarkEnd w:id="101"/>
            <w:r/>
            <w:r/>
          </w:p>
        </w:tc>
        <w:tc>
          <w:tcPr>
            <w:tcW w:w="719" w:type="pct"/>
            <w:vAlign w:val="center"/>
            <w:textDirection w:val="lrTb"/>
            <w:noWrap w:val="false"/>
          </w:tcPr>
          <w:p>
            <w:pPr>
              <w:jc w:val="center"/>
              <w:widowControl/>
              <w:rPr>
                <w:rFonts w:hint="eastAsia" w:ascii="宋体" w:hAnsi="宋体" w:cs="宋体"/>
                <w:color w:val="auto"/>
                <w:szCs w:val="21"/>
                <w:highlight w:val="none"/>
              </w:rPr>
            </w:pPr>
            <w:r/>
            <w:bookmarkStart w:id="102" w:name="OLE_LINK299"/>
            <w:r/>
            <w:bookmarkStart w:id="103" w:name="OLE_LINK300"/>
            <w:r>
              <w:rPr>
                <w:rFonts w:hint="eastAsia" w:ascii="宋体" w:hAnsi="宋体" w:cs="宋体"/>
                <w:color w:val="auto"/>
                <w:szCs w:val="21"/>
                <w:highlight w:val="none"/>
              </w:rPr>
              <w:t xml:space="preserve">40周岁（含）以下</w:t>
            </w:r>
            <w:bookmarkEnd w:id="102"/>
            <w:r/>
            <w:bookmarkEnd w:id="103"/>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本科及以上</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知识面宽，专业职能熟练，有较强的组织管理能力、协调能力，具备相关信息化知识储备和较为熟练的电脑操作能力；政审合格，身体健康，体检合格，有5年以上类似工作经验。</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项目主管</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男女不限</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本科及以上</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知识面宽，专业职能熟练，有较强的组织管理能力、协调能力，具备相关信息化知识储备和较为熟练的电脑操作能力；政审合格，身体健康，体检合格，</w:t>
            </w:r>
            <w:r>
              <w:rPr>
                <w:rFonts w:hint="eastAsia" w:ascii="宋体" w:hAnsi="宋体" w:cs="宋体"/>
                <w:color w:val="auto"/>
                <w:szCs w:val="21"/>
                <w:highlight w:val="none"/>
              </w:rPr>
              <w:t xml:space="preserve">全职协助项目负责人对接本项目工作</w:t>
            </w:r>
            <w:r>
              <w:rPr>
                <w:rFonts w:hint="eastAsia" w:ascii="宋体" w:hAnsi="宋体" w:cs="宋体"/>
                <w:color w:val="auto"/>
                <w:szCs w:val="21"/>
                <w:highlight w:val="none"/>
              </w:rPr>
              <w:t xml:space="preserve">。</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秩序维护队长</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本科及以上</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五官端正，政审合格，身体健康，无不良记录，具有相关工作经验。熟悉各项法律法规知识，熟悉安全及消防管理知识，具备处理突发事件的能力和经验。</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秩序维护员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bookmarkStart w:id="104" w:name="OLE_LINK10"/>
            <w:r/>
            <w:bookmarkStart w:id="105" w:name="OLE_LINK11"/>
            <w:r>
              <w:rPr>
                <w:rFonts w:hint="eastAsia" w:ascii="宋体" w:hAnsi="宋体" w:cs="宋体"/>
                <w:color w:val="auto"/>
                <w:szCs w:val="21"/>
                <w:highlight w:val="none"/>
              </w:rPr>
              <w:t xml:space="preserve">/</w:t>
            </w:r>
            <w:bookmarkEnd w:id="104"/>
            <w:r/>
            <w:bookmarkEnd w:id="105"/>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五官端正，政审合格，身体健康，无不良记录。</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监控</w:t>
            </w:r>
            <w:bookmarkStart w:id="106" w:name="OLE_LINK268"/>
            <w:r/>
            <w:bookmarkStart w:id="107" w:name="OLE_LINK267"/>
            <w:r>
              <w:rPr>
                <w:rFonts w:hint="eastAsia" w:ascii="宋体" w:hAnsi="宋体" w:cs="宋体"/>
                <w:color w:val="auto"/>
                <w:szCs w:val="21"/>
                <w:highlight w:val="none"/>
              </w:rPr>
              <w:t xml:space="preserve">室值班人员</w:t>
            </w:r>
            <w:bookmarkEnd w:id="106"/>
            <w:r/>
            <w:bookmarkEnd w:id="107"/>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男女不限</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39" w:type="pct"/>
            <w:vAlign w:val="center"/>
            <w:textDirection w:val="lrTb"/>
            <w:noWrap w:val="false"/>
          </w:tcPr>
          <w:p>
            <w:pPr>
              <w:jc w:val="left"/>
              <w:widowControl/>
              <w:rPr>
                <w:rFonts w:hint="eastAsia" w:ascii="宋体" w:hAnsi="宋体" w:cs="宋体"/>
                <w:color w:val="auto"/>
                <w:szCs w:val="21"/>
                <w:highlight w:val="none"/>
              </w:rPr>
            </w:pPr>
            <w:r/>
            <w:bookmarkStart w:id="108" w:name="OLE_LINK18"/>
            <w:r/>
            <w:bookmarkStart w:id="109" w:name="OLE_LINK17"/>
            <w:r>
              <w:rPr>
                <w:rFonts w:hint="eastAsia" w:ascii="宋体" w:hAnsi="宋体" w:cs="宋体"/>
                <w:color w:val="auto"/>
                <w:szCs w:val="21"/>
                <w:highlight w:val="none"/>
              </w:rPr>
              <w:t xml:space="preserve">持相关专业人员证书，</w:t>
            </w:r>
            <w:bookmarkEnd w:id="108"/>
            <w:r/>
            <w:bookmarkEnd w:id="109"/>
            <w:r>
              <w:rPr>
                <w:rFonts w:hint="eastAsia" w:ascii="宋体" w:hAnsi="宋体" w:cs="宋体"/>
                <w:color w:val="auto"/>
                <w:szCs w:val="21"/>
                <w:highlight w:val="none"/>
              </w:rPr>
              <w:t xml:space="preserve">五官端正，政审合格，身体健康，无不良记录，具有类似工作经验。熟悉各项法律法规知识，熟悉安全及消防管理知识，具备处理突发事件的能力和经验。</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会务主管</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本科及以上</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形象气质佳、沟通表达流畅，具备简单英语交流能力，熟悉会务全流程管理，能熟练操作各类办公设备，具备会务统筹协调与团队管理能力</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7</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会务接待人员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w:t>
            </w:r>
            <w:r/>
          </w:p>
        </w:tc>
        <w:tc>
          <w:tcPr>
            <w:tcW w:w="719" w:type="pct"/>
            <w:vAlign w:val="center"/>
            <w:textDirection w:val="lrTb"/>
            <w:noWrap w:val="false"/>
          </w:tcPr>
          <w:p>
            <w:pPr>
              <w:jc w:val="center"/>
              <w:widowControl/>
              <w:rPr>
                <w:rFonts w:hint="eastAsia" w:ascii="宋体" w:hAnsi="宋体" w:cs="宋体"/>
                <w:color w:val="auto"/>
                <w:szCs w:val="21"/>
                <w:highlight w:val="none"/>
              </w:rPr>
            </w:pPr>
            <w:r/>
            <w:bookmarkStart w:id="110" w:name="OLE_LINK89"/>
            <w:r/>
            <w:bookmarkStart w:id="111" w:name="OLE_LINK87"/>
            <w:r>
              <w:rPr>
                <w:rFonts w:hint="eastAsia" w:ascii="宋体" w:hAnsi="宋体" w:cs="宋体"/>
                <w:color w:val="auto"/>
                <w:szCs w:val="21"/>
                <w:highlight w:val="none"/>
              </w:rPr>
              <w:t xml:space="preserve">35周岁（含）以下</w:t>
            </w:r>
            <w:bookmarkEnd w:id="110"/>
            <w:r/>
            <w:bookmarkEnd w:id="111"/>
            <w:r/>
            <w:r/>
          </w:p>
        </w:tc>
        <w:tc>
          <w:tcPr>
            <w:tcW w:w="639" w:type="pct"/>
            <w:vAlign w:val="center"/>
            <w:textDirection w:val="lrTb"/>
            <w:noWrap w:val="false"/>
          </w:tcPr>
          <w:p>
            <w:pPr>
              <w:jc w:val="center"/>
              <w:widowControl/>
              <w:rPr>
                <w:rFonts w:hint="eastAsia" w:ascii="宋体" w:hAnsi="宋体" w:cs="宋体"/>
                <w:color w:val="auto"/>
                <w:szCs w:val="21"/>
                <w:highlight w:val="none"/>
              </w:rPr>
            </w:pPr>
            <w:r/>
            <w:bookmarkStart w:id="112" w:name="OLE_LINK27"/>
            <w:r/>
            <w:bookmarkStart w:id="113" w:name="OLE_LINK26"/>
            <w:r>
              <w:rPr>
                <w:rFonts w:hint="eastAsia" w:ascii="宋体" w:hAnsi="宋体" w:cs="宋体"/>
                <w:color w:val="auto"/>
                <w:szCs w:val="21"/>
                <w:highlight w:val="none"/>
              </w:rPr>
              <w:t xml:space="preserve">本科及以上</w:t>
            </w:r>
            <w:bookmarkEnd w:id="112"/>
            <w:r/>
            <w:bookmarkEnd w:id="113"/>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形象气质佳，沟通表达流畅；熟悉会务流程，能熟练使用办公设备。</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总服务台人员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本科及以上</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熟练使用办公软件及前台系统；有良好的服务意识和应变能力。</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9</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宿舍管理服务人员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bookmarkStart w:id="114" w:name="OLE_LINK163"/>
            <w:r/>
            <w:bookmarkStart w:id="115" w:name="OLE_LINK162"/>
            <w:r>
              <w:rPr>
                <w:rFonts w:hint="eastAsia" w:ascii="宋体" w:hAnsi="宋体" w:cs="宋体"/>
                <w:color w:val="auto"/>
                <w:szCs w:val="21"/>
                <w:highlight w:val="none"/>
              </w:rPr>
              <w:t xml:space="preserve">/</w:t>
            </w:r>
            <w:bookmarkEnd w:id="114"/>
            <w:r/>
            <w:bookmarkEnd w:id="115"/>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熟练完成宿舍清洁、整理工作；细心负责，服务态度热情。</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10</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楼层管理员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男女不限</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男55</w:t>
            </w:r>
            <w:bookmarkStart w:id="116" w:name="OLE_LINK303"/>
            <w:r/>
            <w:bookmarkStart w:id="117" w:name="OLE_LINK304"/>
            <w:r>
              <w:rPr>
                <w:rFonts w:hint="eastAsia" w:ascii="宋体" w:hAnsi="宋体" w:cs="宋体"/>
                <w:color w:val="auto"/>
                <w:szCs w:val="21"/>
                <w:highlight w:val="none"/>
              </w:rPr>
              <w:t xml:space="preserve">周岁（含）以下</w:t>
            </w:r>
            <w:bookmarkEnd w:id="116"/>
            <w:r/>
            <w:bookmarkEnd w:id="117"/>
            <w:r>
              <w:rPr>
                <w:rFonts w:hint="eastAsia" w:ascii="宋体" w:hAnsi="宋体" w:cs="宋体"/>
                <w:color w:val="auto"/>
                <w:szCs w:val="21"/>
                <w:highlight w:val="none"/>
              </w:rPr>
              <w:t xml:space="preserve">，女50周岁含）以下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熟悉楼层管理流程，能协调宿舍服务、设备维修、秩序维护服务等工作；有较强的责任心和沟通能力。</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11</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设备设施运营保障人员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持相关专业人员证书，熟悉各类设备设施原理及操作规范，具备故障排查、日常维护与应急处置能力，责任心强、执行力佳，能保障设备设施持续稳定运行</w:t>
            </w:r>
            <w:r/>
          </w:p>
        </w:tc>
      </w:tr>
      <w:tr>
        <w:trPr>
          <w:jc w:val="center"/>
          <w:trHeight w:val="539"/>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12</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食堂厨师</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男女不限</w:t>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能根据需求调整菜品，卫生习惯良好；有食堂或餐饮行业烹饪经验。</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13</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食堂勤杂兼服务员</w:t>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82" w:type="pct"/>
            <w:vAlign w:val="center"/>
            <w:textDirection w:val="lrTb"/>
            <w:noWrap w:val="false"/>
          </w:tcPr>
          <w:p>
            <w:pPr>
              <w:jc w:val="center"/>
              <w:widowControl/>
              <w:rPr>
                <w:rFonts w:hint="eastAsia" w:ascii="宋体" w:hAnsi="宋体" w:cs="宋体"/>
                <w:color w:val="auto"/>
                <w:szCs w:val="21"/>
                <w:highlight w:val="none"/>
              </w:rPr>
            </w:pPr>
            <w:r/>
            <w:bookmarkStart w:id="118" w:name="OLE_LINK293"/>
            <w:r/>
            <w:bookmarkStart w:id="119" w:name="OLE_LINK294"/>
            <w:r>
              <w:rPr>
                <w:rFonts w:hint="eastAsia" w:ascii="宋体" w:hAnsi="宋体" w:cs="宋体"/>
                <w:color w:val="auto"/>
                <w:szCs w:val="21"/>
                <w:highlight w:val="none"/>
              </w:rPr>
              <w:t xml:space="preserve">男女不限</w:t>
            </w:r>
            <w:bookmarkEnd w:id="118"/>
            <w:r/>
            <w:bookmarkEnd w:id="119"/>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50周岁（含）以下</w:t>
            </w:r>
            <w:r/>
          </w:p>
        </w:tc>
        <w:tc>
          <w:tcPr>
            <w:tcW w:w="639" w:type="pct"/>
            <w:vAlign w:val="center"/>
            <w:textDirection w:val="lrTb"/>
            <w:noWrap w:val="false"/>
          </w:tcPr>
          <w:p>
            <w:pPr>
              <w:jc w:val="center"/>
              <w:widowControl/>
              <w:rPr>
                <w:rFonts w:hint="eastAsia" w:ascii="宋体" w:hAnsi="宋体" w:cs="宋体"/>
                <w:color w:val="auto"/>
                <w:szCs w:val="21"/>
                <w:highlight w:val="none"/>
              </w:rPr>
            </w:pPr>
            <w:r/>
            <w:bookmarkStart w:id="120" w:name="OLE_LINK168"/>
            <w:r>
              <w:rPr>
                <w:rFonts w:hint="eastAsia" w:ascii="宋体" w:hAnsi="宋体" w:cs="宋体"/>
                <w:color w:val="auto"/>
                <w:szCs w:val="21"/>
                <w:highlight w:val="none"/>
              </w:rPr>
              <w:t xml:space="preserve">/</w:t>
            </w:r>
            <w:bookmarkEnd w:id="120"/>
            <w:r/>
            <w:r/>
          </w:p>
        </w:tc>
        <w:tc>
          <w:tcPr>
            <w:tcW w:w="173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能配合厨师完成辅助工作。</w:t>
            </w:r>
            <w:r/>
          </w:p>
        </w:tc>
      </w:tr>
      <w:tr>
        <w:trPr>
          <w:jc w:val="center"/>
          <w:trHeight w:val="300"/>
        </w:trPr>
        <w:tc>
          <w:tcPr>
            <w:tcW w:w="37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合计</w:t>
            </w:r>
            <w:r/>
          </w:p>
        </w:tc>
        <w:tc>
          <w:tcPr>
            <w:tcW w:w="6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38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48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1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6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73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bookmarkEnd w:id="98"/>
            <w:r/>
            <w:bookmarkEnd w:id="99"/>
            <w:r/>
            <w:r/>
          </w:p>
        </w:tc>
      </w:tr>
    </w:tbl>
    <w:p>
      <w:pPr>
        <w:ind w:firstLine="422"/>
        <w:spacing w:line="360" w:lineRule="auto"/>
        <w:rPr>
          <w:rFonts w:hint="eastAsia" w:ascii="宋体" w:hAnsi="宋体" w:cs="宋体"/>
          <w:bCs/>
          <w:iCs/>
          <w:color w:val="auto"/>
          <w:szCs w:val="21"/>
          <w:highlight w:val="none"/>
        </w:rPr>
      </w:pPr>
      <w:r/>
      <w:bookmarkStart w:id="121" w:name="OLE_LINK169"/>
      <w:r>
        <w:rPr>
          <w:rFonts w:hint="eastAsia" w:ascii="宋体" w:hAnsi="宋体" w:cs="宋体"/>
          <w:b/>
          <w:bCs/>
          <w:iCs/>
          <w:color w:val="auto"/>
          <w:szCs w:val="21"/>
          <w:highlight w:val="none"/>
        </w:rPr>
        <w:t xml:space="preserve">2、共性要求： </w:t>
      </w:r>
      <w:bookmarkEnd w:id="121"/>
      <w:r>
        <w:rPr>
          <w:rFonts w:hint="eastAsia" w:ascii="宋体" w:hAnsi="宋体" w:cs="宋体"/>
          <w:b/>
          <w:bCs/>
          <w:iCs/>
          <w:color w:val="auto"/>
          <w:szCs w:val="21"/>
          <w:highlight w:val="none"/>
        </w:rPr>
        <w:t xml:space="preserve"> </w:t>
      </w:r>
      <w:r>
        <w:rPr>
          <w:rFonts w:hint="eastAsia" w:ascii="宋体" w:hAnsi="宋体" w:cs="宋体"/>
          <w:bCs/>
          <w:iCs/>
          <w:color w:val="auto"/>
          <w:szCs w:val="21"/>
          <w:highlight w:val="none"/>
        </w:rPr>
        <w:t xml:space="preserve">                                                                             </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（1）爱岗、敬业、专业、精干</w:t>
      </w:r>
      <w:bookmarkStart w:id="122" w:name="_Hlk152843413"/>
      <w:r>
        <w:rPr>
          <w:rFonts w:hint="eastAsia" w:ascii="宋体" w:hAnsi="宋体" w:cs="宋体"/>
          <w:bCs/>
          <w:iCs/>
          <w:color w:val="auto"/>
          <w:szCs w:val="21"/>
          <w:highlight w:val="none"/>
        </w:rPr>
        <w:t xml:space="preserve">、</w:t>
      </w:r>
      <w:bookmarkEnd w:id="122"/>
      <w:r>
        <w:rPr>
          <w:rFonts w:hint="eastAsia" w:ascii="宋体" w:hAnsi="宋体" w:cs="宋体"/>
          <w:bCs/>
          <w:iCs/>
          <w:color w:val="auto"/>
          <w:szCs w:val="21"/>
          <w:highlight w:val="none"/>
        </w:rPr>
        <w:t xml:space="preserve">高效、健康、思想品质好，作风正派，服务意识强。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（2）员工不准留胡须、蓄长发、染发（黑色除外）、刺青纹身、佩戴过分的饰物。</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（3）所有进驻的工作人员工作时间不准抽烟、吃零食、闲谈以及做和工作无关的事，同时要注意文明用语，举止大方，要具有一定的工作经验。</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（4）相关工作人员需统一着装上岗。</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w:t>
      </w:r>
      <w:r>
        <w:rPr>
          <w:rFonts w:hint="eastAsia" w:ascii="宋体" w:hAnsi="宋体" w:cs="宋体"/>
          <w:bCs/>
          <w:iCs/>
          <w:color w:val="auto"/>
          <w:szCs w:val="21"/>
          <w:highlight w:val="none"/>
        </w:rPr>
        <w:t xml:space="preserve">政审合格，进场前提供无违法犯罪记录证明。</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3、各岗位职责：</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（一）项目负责人（1人）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1.全面统筹项目运营管理，制定服务计划与目标，确保各项服务符合基地要求及政府机关标准化规范。</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2.牵头组建服务团队，落实人员招聘、培训、排班及绩效考核，提升团队专业素养与服务意识。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3.对接基地管理部门，及时沟通服务需求、反馈工作进展，处理服务投诉与重大问题，维护良好合作关系。</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4.按时编制物资需求计划并向采购人申请，协助采购人进行项目物资采购、成本管控及物资入库、出库，确保合理使用物资，杜绝浪费。</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5.主导突发事件应急管理，审核应急预案，组织应急培训与演习，统筹协调突发情况处置工作。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6.监督各岗位工作落实情况，定期开展巡查与复盘，推动服务质量持续改进。</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7.协助基地完成行政事务、文书资料整理及上级交办的其他后勤相关工作。</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（二）项目主管（1人）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 协助项目负责人统筹日常运营，细化落实服务计划，遵循基地要求及相关规范，保障餐饮、住宿等后勤服务有序落地。</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 协助管理后勤团队，配合落实招聘、培训、排班及绩效考核，强化团队服务与保密意识，提升专业化水平。</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 对接基地各部门，收集服务需求、反馈工作进展，协调解决常规问题，配合处理投诉及突发事项，维护良好协作关系。</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4.规范物资出入库流程，合理调配资源，杜绝浪费，确保物资使用合规、供应充足。</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 配合开展应急管理，参与应急预案完善及应急演练，突发情况中协助统筹处置，防范安全风险。</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 监督各后勤岗位工作，定期巡查、复盘，及时督促整改问题，优化服务流程，提升服务质量。</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7. 负责后勤相关文书台账整理归档，协助基地完成行政及后勤辅助工作，落实上级交办的其他任务。</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（三）秩序维护队长（1人）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1.负责秩序维护团队日常管理，制定值守、巡逻计划，安排人员分工，监督工作纪律与服务规范执行。</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2.组织秩序维护员开展专业培训，内容包括安全防范、应急处置、礼仪规范等，提升团队应急能力。</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3.牵头开展日常安全巡查，重点排查消防、防盗隐患，检查安全标识完整性，及时整改问题并记录。</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4.统筹车辆进出管理与停放秩序维护，保障通道畅通，处理车辆剐蹭等小型安全纠纷。</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5.带领团队处置突发安全事件，按流程报警、上报，配合相关部门调查。</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6.对接安全监控岗位，共享异常信息，协同做好基地安全防控，定期提交秩序维护工作报表。</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（四）秩序维护员（6人）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1.落实24小时轮班值守，负责基地出入口管控，严格核验进出人员身份、登记访客及出入货物信息。</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2.按规定路线开展定时与不定时巡逻，重点巡查训练楼、宿舍楼、食堂等区域，及时发现并上报异常情况。</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3.维护公共区域秩序，遇突发安全事件快效有效处理，协助引导人员有序流动，并及时上报。</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4.检查消防设施（灭火器、消火栓等）完好性，熟悉消防器材使用方法，参与消防应急处置。</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5.协助引导车辆规范停放，提醒驾驶员保持通道畅通，临时管控车辆进出高峰秩序。</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6.完成秩序维护队长交办的其他秩序维护任务，做好工作记录。</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（五）监控室值班人员（5人）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1.实行24小时轮班制，实时监控基地重点区域（出入口、通道、训练场地等）监控画面，密切关注异常动态。</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2.发现监控画面中出现人员聚集、设施异常、安全隐患等情况时，立即记录并第一时间上报秩序维护队长及项目负责人。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3.负责监控设备日常维护，检查设备运行状态，发现故障及时报修，保障监控系统稳定运行及录像资料完整。</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4.严格遵守数据保密制度，按规定流程协助基地及相关部门调取监控录像，做好记录备案。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5.整理监控工作台账，记录设备运行、异常事件及数据调取情况，定期提交工作报告。</w:t>
      </w:r>
      <w:r/>
    </w:p>
    <w:p>
      <w:pPr>
        <w:ind w:firstLine="422"/>
        <w:spacing w:line="360" w:lineRule="auto"/>
        <w:rPr>
          <w:rFonts w:hint="eastAsia" w:ascii="宋体" w:hAnsi="宋体" w:cs="宋体"/>
          <w:b/>
          <w:bCs/>
          <w:iCs/>
          <w:color w:val="auto"/>
          <w:szCs w:val="21"/>
          <w:highlight w:val="none"/>
        </w:rPr>
      </w:pPr>
      <w:r/>
      <w:bookmarkStart w:id="123" w:name="OLE_LINK25"/>
      <w:r/>
      <w:bookmarkStart w:id="124" w:name="OLE_LINK24"/>
      <w:r>
        <w:rPr>
          <w:rFonts w:hint="eastAsia" w:ascii="宋体" w:hAnsi="宋体" w:cs="宋体"/>
          <w:b/>
          <w:bCs/>
          <w:iCs/>
          <w:color w:val="auto"/>
          <w:szCs w:val="21"/>
          <w:highlight w:val="none"/>
        </w:rPr>
        <w:t xml:space="preserve">（六）会务主管（1人）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w:t>
      </w:r>
      <w:bookmarkStart w:id="125" w:name="OLE_LINK224"/>
      <w:r/>
      <w:bookmarkStart w:id="126" w:name="OLE_LINK223"/>
      <w:r>
        <w:rPr>
          <w:rFonts w:hint="eastAsia" w:ascii="宋体" w:hAnsi="宋体" w:cs="宋体"/>
          <w:bCs/>
          <w:iCs/>
          <w:color w:val="auto"/>
          <w:szCs w:val="21"/>
          <w:highlight w:val="none"/>
        </w:rPr>
        <w:t xml:space="preserve">负责会务人员的日常工作分配、排班调度及业务指导，明确工作标准与考核要求；制定会务及服务台工作的标准化流程，定期组织团队培训，提升团队专业服务能力与应急处理水平。</w:t>
      </w:r>
      <w:bookmarkEnd w:id="125"/>
      <w:r/>
      <w:bookmarkEnd w:id="126"/>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牵头基地各类会议、培训及活动的接待保障工作，亲自对接核心需求，制定详尽的接待方案并审核细化流程；统筹基地涉外事务接待工作，严格把控涉外接待规范，监督服务过程，确保展现专业、合规的服务形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负责会务物资的统筹管理，指导团队做好物资保管、定期盘点及补充计划制定，确保物资充足可用；审核会务台账、会客登记台账、报修记录台账等各类工作资料，确保信息准确完整，定期汇总分析并上报相关领导。</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4.主导处理会议及服务过程中的重大突发问题，协调各相关岗位资源解决疑难事项；对会务、总服务台接待的全流程进行质量监督，收集服务反馈并持续优化服务流程。</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w:t>
      </w:r>
      <w:r>
        <w:rPr>
          <w:rFonts w:hint="eastAsia" w:ascii="宋体" w:hAnsi="宋体" w:cs="宋体"/>
          <w:color w:val="auto"/>
          <w:szCs w:val="21"/>
          <w:highlight w:val="none"/>
        </w:rPr>
        <w:t xml:space="preserve"> </w:t>
      </w:r>
      <w:r>
        <w:rPr>
          <w:rFonts w:hint="eastAsia" w:ascii="宋体" w:hAnsi="宋体" w:cs="宋体"/>
          <w:bCs/>
          <w:iCs/>
          <w:color w:val="auto"/>
          <w:szCs w:val="21"/>
          <w:highlight w:val="none"/>
        </w:rPr>
        <w:t xml:space="preserve">统筹基地各类报刊杂志、对公信件包裹的接收、登记与派发等工作，确保文件资料传递及时、准确，避免遗漏重要事项。</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（七）会务接待人员（4人）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1.承接基地各类会议、培训及活动的接待保障工作。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2.负责会议现场布置（桌椅摆放、台签制作、资料分发等），调试音响、投影、灯光等设备，确保会议顺利进行。</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3.做好参会人员的引导接待、茶水供应等会中服务，及时处理会议过程中的突发问题。</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4.会议结束后负责现场清理、设备关闭及资料归档工作，整理会务台账。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5.协助基地开展涉外事务接待工作，遵守涉外接待规范，展现专业服务形象。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6.保管会务物资，定期盘点补充，确保物资充足可用。 </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（八）总服务台服务（1人）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1.负责接待来访人员，做好身份核验、信息登记及引导工作，耐心解答访客咨询。</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2.接收基地人员及住宿人员的后勤服务咨询与报修需求，准确记录并及时转办至相关岗位，跟踪落实情况并反馈。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3.负责基地各类报刊杂志、对公信件包裹的接收与传达，确保文件资料传递及时准确。</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4.维护总服务台及周边区域的环境卫生，管理服务台标识，确保区域整洁规范。</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5.做好会客登记、报修记录、通知传达等工作台账，定期汇总上报。</w:t>
      </w:r>
      <w:bookmarkEnd w:id="123"/>
      <w:r/>
      <w:bookmarkEnd w:id="124"/>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（九）宿舍管理服务（4人）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1.负责基地宿舍的日常清洁消毒工作，包括清扫房间卫生、更换床品、整理衣物、清洁卫生间等，确保住宿环境整洁卫生。</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2.按标准检查宿舍设施（空调、灯具、卫浴等）完好性。</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3.接收住宿人员的服务需求（如叫醒、物品借用等），快速响应并妥善处理，提升住宿体验。</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4.严格执行卫生消毒标准，做好公共接触区域的消杀工作。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5.负责宿舍布草的收集、分类与送洗，清点布草数量，确保布草干净充足。</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（十）楼层管理服务（4人）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1.按楼层分工负责各楼层的日常管理工作，定期巡查楼层公共区域（走廊、楼梯、电梯厅、卫生间等）的环境卫生与秩序。</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2.检查楼层公共设施（照明、消防设施、电梯等）运行状态，发现损坏或异常及时上报并跟踪维修进度。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3.协助维护楼层安全，发现可疑人员或异常情况立即上报秩序维护团队，配合做好处置工作。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4.传达基地及项目的相关通知，收集楼层住宿人员或办公人员的意见建议，及时反馈给项目负责人。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5.对接宿舍服务与总服务台，协调处理楼层内的服务需求与问题，保障服务衔接顺畅。</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6.负责楼层垃圾分类引导与管理，确保垃圾投放规范、及时清运。</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（十一）设备设施运营保障（1人）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 制定基地设施设备定期巡检与维护计划，负责基地办公场所、宿舍、活动区域及公共区域设施设备的日常检查与维修保障工作，建立完整的设备台账及维保档案。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 接到设施设备故障报修后，快速响应并赶赴现场，精准判断故障原因，高效完成维修工作，确保设备尽快恢复正常运行，减少对基地运营的影响。</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 严格按照设备操作规程及维修技术标准开展工作，规范使用维修工具与耗材，做好维修过程中的安全防护措施，杜绝安全事故发生。</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 对巡检及维修中发现的设备潜在隐患，及时记录并制定预防性处理方案，提前干预避免故障扩大；对老化、报废设备提出更新换代建议并协助落实。</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 负责维修物料的清点、登记与申领，确保常用备件储备充足；定期整理维修记录，统计设备故障频率、维修成本等数据并形成报告反馈。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 为基地员工提供基础的设施设备使用指导，解答简单操作疑问，提升设备规范使用水平，延长设备使用寿命。</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（十二）食堂厨师（3人）</w:t>
      </w:r>
      <w:r/>
    </w:p>
    <w:p>
      <w:pPr>
        <w:ind w:firstLine="420"/>
        <w:spacing w:line="360" w:lineRule="auto"/>
        <w:rPr>
          <w:rFonts w:hint="eastAsia" w:ascii="宋体" w:hAnsi="宋体" w:cs="宋体"/>
          <w:bCs/>
          <w:iCs/>
          <w:color w:val="auto"/>
          <w:szCs w:val="21"/>
          <w:highlight w:val="none"/>
        </w:rPr>
      </w:pPr>
      <w:r/>
      <w:bookmarkStart w:id="127" w:name="OLE_LINK57"/>
      <w:r/>
      <w:bookmarkStart w:id="128" w:name="OLE_LINK42"/>
      <w:r>
        <w:rPr>
          <w:rFonts w:hint="eastAsia" w:ascii="宋体" w:hAnsi="宋体" w:cs="宋体"/>
          <w:bCs/>
          <w:iCs/>
          <w:color w:val="auto"/>
          <w:szCs w:val="21"/>
          <w:highlight w:val="none"/>
        </w:rPr>
        <w:t xml:space="preserve">1.负责基地人员的日常餐食制作（含中式面点），根据营养搭配原则制定每周食谱，保障餐食种类丰富、营养均衡。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严格遵守食品安全规范，做好食材采购验收（协助库管）、清洗处理、加工烹饪等环节的质量把控；每餐次用餐前对每样食品进行留样，在专用冷藏设备里保存不低于48小时，以确保样品的完整性和不受污染，杜绝食品安全问题。</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3.合理使用厨房设备与食材，减少浪费，控制餐饮成本；做好食材储存，分类存放、防止变质。</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4.负责厨房区域的卫生清洁，定期对厨具、灶台、冰箱等进行消毒，保持厨房环境整洁。</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5.根据基地需求，承接临时接待餐、会议餐的制作工作，满足特殊餐饮需求。</w:t>
      </w:r>
      <w:bookmarkEnd w:id="127"/>
      <w:r/>
      <w:bookmarkEnd w:id="128"/>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（十三）食堂勤杂兼服务员（3人）</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1.协助厨师做好食材的清洗、切配、摘拣等前期准备工作，以及餐后厨具的清洗、消毒与摆放。</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2.负责餐厅区域的环境卫生，包括餐前餐桌椅摆放、地面清洁，餐中及时清理餐桌杂物，餐后全面清扫消毒。</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3.做好餐食的打餐、分发服务，引导就餐人员有序就餐，维护餐厅秩序。</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4.负责食堂物资的入库登记、出库领用及盘点工作，协助管理食材与餐具库存。</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5.收集就餐人员对餐食与服务的意见建议，及时反馈给厨师及项目负责人。</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w:t>
      </w:r>
      <w:bookmarkStart w:id="129" w:name="OLE_LINK226"/>
      <w:r/>
      <w:bookmarkStart w:id="130" w:name="OLE_LINK234"/>
      <w:r/>
      <w:bookmarkStart w:id="131" w:name="OLE_LINK225"/>
      <w:r>
        <w:rPr>
          <w:rFonts w:hint="eastAsia" w:ascii="宋体" w:hAnsi="宋体" w:cs="宋体"/>
          <w:b/>
          <w:bCs/>
          <w:color w:val="auto"/>
          <w:szCs w:val="21"/>
          <w:highlight w:val="none"/>
        </w:rPr>
        <w:t xml:space="preserve">后勤托管一体化服务项目</w:t>
      </w:r>
      <w:bookmarkEnd w:id="129"/>
      <w:r/>
      <w:bookmarkEnd w:id="130"/>
      <w:r/>
      <w:bookmarkEnd w:id="131"/>
      <w:r>
        <w:rPr>
          <w:rFonts w:hint="eastAsia" w:ascii="宋体" w:hAnsi="宋体" w:cs="宋体"/>
          <w:b/>
          <w:bCs/>
          <w:color w:val="auto"/>
          <w:szCs w:val="21"/>
          <w:highlight w:val="none"/>
        </w:rPr>
        <w:t xml:space="preserve">的</w:t>
      </w:r>
      <w:bookmarkStart w:id="132" w:name="OLE_LINK198"/>
      <w:r>
        <w:rPr>
          <w:rFonts w:hint="eastAsia" w:ascii="宋体" w:hAnsi="宋体" w:cs="宋体"/>
          <w:b/>
          <w:bCs/>
          <w:color w:val="auto"/>
          <w:szCs w:val="21"/>
          <w:highlight w:val="none"/>
        </w:rPr>
        <w:t xml:space="preserve">基本要求及相关标准</w:t>
      </w:r>
      <w:bookmarkEnd w:id="132"/>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后勤托管一体化服务区域内所有后勤托管一体化服务项目的基本要求和标准参照《省级住宅后勤综合管理服务标准DB32/T 538-2002》制定。</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后勤托管一体化服务全体工作人员须统一着装，佩戴统一标志，仪表端庄、大方，衣着整洁，表情自然和蔼、亲切；接待时主动、热情、规范，用语准确，称呼恰当，问候亲切，语气诚恳，耐心细致；使用文明用语，不使用服务忌语。</w:t>
      </w:r>
      <w:bookmarkStart w:id="133" w:name="OLE_LINK271"/>
      <w:r/>
      <w:bookmarkStart w:id="134" w:name="OLE_LINK272"/>
      <w:r/>
      <w:bookmarkEnd w:id="133"/>
      <w:r/>
      <w:bookmarkEnd w:id="134"/>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（一）</w:t>
      </w:r>
      <w:bookmarkStart w:id="135" w:name="OLE_LINK269"/>
      <w:r/>
      <w:bookmarkStart w:id="136" w:name="OLE_LINK270"/>
      <w:r>
        <w:rPr>
          <w:rFonts w:hint="eastAsia" w:ascii="宋体" w:hAnsi="宋体" w:cs="宋体"/>
          <w:b/>
          <w:bCs/>
          <w:iCs/>
          <w:color w:val="auto"/>
          <w:szCs w:val="21"/>
          <w:highlight w:val="none"/>
        </w:rPr>
        <w:t xml:space="preserve">秩序管理</w:t>
      </w:r>
      <w:bookmarkEnd w:id="135"/>
      <w:r/>
      <w:bookmarkEnd w:id="136"/>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配备专职秩序维护人员，要求身体健康、责任心强、体态良好，无犯罪记录，接受过两年以上安全护卫或相关训练，掌握基础安全护卫技能，定期开展安全防范学习；熟悉服务区域环境及相关法律法规，能妥善处理护卫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秩序维护人员配备对讲装置及其他必备安全护卫工具，当班时佩戴统一标志、执勤工号，穿戴统一制服，工具佩戴规范，仪容仪表整齐；上岗精神饱满、举止文明，执勤时不吸烟、不吃零食，不做袖手、背手等不规范动作，讲普通话。</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3、完善交接班制度，做好工作及交接班记录；基地设24小时人员值守，接到报警信号确认后，立即派人赶赴现场并做紧急处理。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4、管控人员及物品进出，区域内所有搬出物品需检查、登记、核实后方可放行；谢绝推销、废品回收、快递等闲杂人员进入。</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5、涉及人身安全的区域，设置明显标志并配备防护措施；协助相关部门维护服务区域正常工作秩序，防范不安全事件发生。</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6、加强服务区域外围边界、角落、车库、道路、照明等设施巡查。</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7、秩序维护相关档案资料齐全完整、分类成册、管理完善、查阅方便，及时做好变更登记，保证账物相符。</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（二）车辆管理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1、做好区域内各类车辆及停车场管理工作，确保车库整齐、卫生、有序、安全，车辆进场、离场均进行检查并记录。</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2、引导车辆有序停放，发现车辆未上锁、乱停乱放情况及时提醒并纠正。</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3、外来办事人员车辆需停放至指定区域，确保服务区域内所有道路和进出口无车辆停放，保障基地通道、消防通道全程畅通。</w:t>
      </w:r>
      <w:r/>
    </w:p>
    <w:p>
      <w:pPr>
        <w:ind w:firstLine="422"/>
        <w:spacing w:line="360" w:lineRule="auto"/>
        <w:rPr>
          <w:rFonts w:hint="eastAsia" w:ascii="宋体" w:hAnsi="宋体" w:cs="宋体"/>
          <w:b/>
          <w:bCs/>
          <w:iCs/>
          <w:color w:val="auto"/>
          <w:szCs w:val="21"/>
          <w:highlight w:val="none"/>
        </w:rPr>
      </w:pPr>
      <w:r/>
      <w:bookmarkStart w:id="137" w:name="OLE_LINK209"/>
      <w:r/>
      <w:bookmarkStart w:id="138" w:name="OLE_LINK210"/>
      <w:r>
        <w:rPr>
          <w:rFonts w:hint="eastAsia" w:ascii="宋体" w:hAnsi="宋体" w:cs="宋体"/>
          <w:b/>
          <w:bCs/>
          <w:iCs/>
          <w:color w:val="auto"/>
          <w:szCs w:val="21"/>
          <w:highlight w:val="none"/>
        </w:rPr>
        <w:t xml:space="preserve">（三）安全监控</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1、监控室值班人员实行24小时轮班制，实时监测基地出入口、通道、训练场地等重点区域监控画面，密切关注异常动态，发现问题立即记录并第一时间上报。</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2、负责监控设备日常维护，检查设备运行状态，发现故障及时报修，保障监控系统稳定运行及录像资料完整，为秩序管理、安全处置提供数据支撑。</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3、严格遵守数据保密制度，按规定流程协助调取监控录像并做好记录备案；监控工作台账整理规范，定期提交工作报告</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监控室作为基地应急处置的重要指挥辅助节点，接到突发事件报警或发现紧急情况时，立即切换至相关区域监控画面，实时跟踪事件发展态势，同步向相关岗位及部门传递现场信息，配合开展应急处置工作，全程记录处置过程，为事件复盘、后续整改提供影像及文字依据。</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监控室值班人员需熟练掌握监控设备操作、异常情况识别、应急处置流程及保密规定，严禁值班期间脱岗、睡岗、玩手机、闲聊等违规行为，保持监控室环境整洁，严禁无关人员进入监控室，确保监控工作规范有序开展。</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（四）会议接待</w:t>
      </w:r>
      <w:bookmarkEnd w:id="137"/>
      <w:r/>
      <w:bookmarkEnd w:id="138"/>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1、会议接待负责采购人各类会议服务及活动接待培训，每次会议召开及重要活动前应做好各项会议及接待准备工作（包括采购人安排的会议及其他部门安排的会议和接待工作）。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2、会务服务对象涉及外籍人士以及全国各地区人员，部分会务保障人员需要具备良好的英语日常对话能力，确保接待和引导工作顺利开展。</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会务人员具有保密知识和保密意识，强化人员上岗、在岗管理，经常性开展保密教育提醒，加强涉密会议保密安全管理。服务过程不得将手机、智能手环或其它无线设备带入会议场所，不得擅自记录、录音、摄像，遵守保密和信息安全规定。</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4、接到会议通知，准备清洁的茶具，水瓶若干，茶叶、纸巾、纸杯(根据人数量)、托盘等会务用品。</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5、根据会议时间和参加会议人数，提前将会议室门、灯、空调或窗户(空调停开期间打开窗户,会议前5分钟关闭)打开。协助甲方检查调试好音响、照明、投影仪等。对会议室清洁进行检查,发现污损,及时处理。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会务人员统一着装、干净整洁，化淡妆，不得浓妆艳抹，不得穿奇装异服和佩戴过于夸张的首饰，面部保持微笑，注意站姿，立于会议室门外，发现参会人员进入应立即添加茶水，阻止会议室外大声喧哗者及影响会议人员。</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7、上茶时,应注意端稳，轻拿轻放于参会人员面前，加茶时注意参会人员的动作，避免和参会人员身体发生接触。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8、会议结束后，收茶杯--收烟灰盅--擦桌子--摆放椅子--关灯、空调、窗户(散会后立即开窗户)--关门--清洗烟灰盅, 放置于指定地点。</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9、按采购人的要求布置会场，协助甲方制作会标、席位卡、戗牌等。</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10、每周必须对所有公共区域的会议室进行彻底大扫除（至少一次）。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11、项目接待工作应定期组织进行培训，确保接待的规范及顺利进行。</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12、接到接待活动前，应与相关部门对接接待的具体要求，制订相应的接待方案报对接部门，按方案做好接待工作。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13、根据工作需要安排的其他工作。</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（五）总服务台服务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1、负责来访人员接待，做好身份核验、信息登记及引导工作，耐心解答后勤相关咨询，服务态度热情、应答规范。</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2、及时接收基地及住宿人员的报修需求，准确记录并转办至相关岗位，全程跟踪落实情况并向诉求人反馈。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w:t>
      </w:r>
      <w:r>
        <w:rPr>
          <w:rFonts w:hint="eastAsia" w:ascii="宋体" w:hAnsi="宋体" w:cs="宋体"/>
          <w:bCs/>
          <w:iCs/>
          <w:color w:val="auto"/>
          <w:szCs w:val="21"/>
          <w:highlight w:val="none"/>
        </w:rPr>
        <w:t xml:space="preserve">负责基地及宿舍各类报刊杂志、对公信件包裹的接收与传达，确保文件资料传递及时准确</w:t>
      </w:r>
      <w:r>
        <w:rPr>
          <w:rFonts w:hint="eastAsia" w:ascii="宋体" w:hAnsi="宋体" w:cs="宋体"/>
          <w:bCs/>
          <w:iCs/>
          <w:color w:val="auto"/>
          <w:szCs w:val="21"/>
          <w:highlight w:val="none"/>
        </w:rPr>
        <w:t xml:space="preserve">，无遗漏；做好会客登记、报修记录、通知传达等工作台账，定期汇总上报。</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4、维护总服务台及周边区域环境卫生，管理服务台标识，保持区域整洁规范。</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（六）宿舍管理服务</w:t>
      </w:r>
      <w:r/>
    </w:p>
    <w:p>
      <w:pPr>
        <w:ind w:firstLine="420"/>
        <w:spacing w:line="360" w:lineRule="auto"/>
        <w:rPr>
          <w:rFonts w:hint="eastAsia" w:ascii="宋体" w:hAnsi="宋体" w:cs="宋体"/>
          <w:bCs/>
          <w:iCs/>
          <w:color w:val="auto"/>
          <w:szCs w:val="21"/>
          <w:highlight w:val="none"/>
        </w:rPr>
      </w:pPr>
      <w:r/>
      <w:bookmarkStart w:id="139" w:name="OLE_LINK215"/>
      <w:r/>
      <w:bookmarkStart w:id="140" w:name="OLE_LINK216"/>
      <w:r>
        <w:rPr>
          <w:rFonts w:hint="eastAsia" w:ascii="宋体" w:hAnsi="宋体" w:cs="宋体"/>
          <w:bCs/>
          <w:iCs/>
          <w:color w:val="auto"/>
          <w:szCs w:val="21"/>
          <w:highlight w:val="none"/>
        </w:rPr>
        <w:t xml:space="preserve">1、退房时立即检查房内物品是否齐全并收拾整理清扫，更换和补充用品用具；正常入住期间，每天清理打扫一次（包括：地面、墙面、桌面卫生，盥洗室卫生，整理床铺等）。</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房间卫生标准要达到：房间、家具、设备无尘土，地面干净无杂物，墙面清洁无挂土，玻璃、镜面无污渍，室内清洁无死角。要注意房间设备的日常保养，对自己所管辖的卫生区域设备要心中有数，经常检查，发现有问题及时处理，定期向领导汇报设备完好情况。</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3、卫生间的卫生标准要达到：玻璃台、面盆、恭桶三大件整洁光亮，无毛发、水锈、水碱，瓷砖墙面无尘土和水迹，灯具无尘土，口杯无水碱手印，地面无死角。</w:t>
      </w:r>
      <w:bookmarkEnd w:id="139"/>
      <w:r/>
      <w:bookmarkEnd w:id="140"/>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（七）楼层管理服务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每日对各楼层公共区域开展清洁巡查，重点查看走廊、楼梯间、电梯厅、卫生间等区域是否存在明显杂物堆积、地面墙面有无严重污渍残留等问题，同时检查楼层内垃圾桶设置是否合理、垃圾袋是否按规范更换等情况，巡查中发现清洁不达标问题需及时记录并协调相关方处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2、负责楼层内公共设施的日常检查与基础管理，</w:t>
      </w:r>
      <w:r>
        <w:rPr>
          <w:rFonts w:hint="eastAsia" w:ascii="宋体" w:hAnsi="宋体" w:cs="宋体"/>
          <w:bCs/>
          <w:iCs/>
          <w:color w:val="auto"/>
          <w:szCs w:val="21"/>
          <w:highlight w:val="none"/>
        </w:rPr>
        <w:t xml:space="preserve">巡查走廊灯具、开关、消防指示灯、电梯运行状态等</w:t>
      </w:r>
      <w:r>
        <w:rPr>
          <w:rFonts w:hint="eastAsia" w:ascii="宋体" w:hAnsi="宋体" w:cs="宋体"/>
          <w:bCs/>
          <w:iCs/>
          <w:color w:val="auto"/>
          <w:szCs w:val="21"/>
          <w:highlight w:val="none"/>
        </w:rPr>
        <w:t xml:space="preserve">。若发现电梯运行异常，需合理协调设置电梯层选与开关时间，并及时联系维保单位处理；对于楼层内门窗、玻璃、标牌等损坏情况，要及时登记上报并跟进维修进度。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维护各楼层公共区域的秩序，杜绝擅自占用走廊、楼梯间等公共空间以及乱堆乱放物品的现象。同时管控楼层内人员流动秩序，尤其在培训人员上下课等高峰时段，协助疏导人流，避免电梯口、楼层通道等区域出现拥堵。发现楼层内违规乱贴乱划等破坏环境秩序的行为，及时制止并妥善处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配合秩序维护部门开展楼层安全管理，定期检查楼层内防火、防盗设施的完好情况，比如灭火器、烟雾报警器等，发现故障及时上报并督促整改。将楼层内监控设备纳入整体监控体系，协助做好监控设备的日常检查，确保对楼层关键区域的有效监控。此外，还要巡查楼层内是否存在安全隐患，如线路裸露、消防通道堵塞等，一旦发现立即处置并上报。</w:t>
      </w:r>
      <w:bookmarkStart w:id="141" w:name="OLE_LINK283"/>
      <w:r/>
      <w:bookmarkStart w:id="142" w:name="OLE_LINK284"/>
      <w:r/>
      <w:bookmarkEnd w:id="141"/>
      <w:r/>
      <w:bookmarkEnd w:id="142"/>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若楼层包含会议室、训练馆、器材库房、健身房、地下室特殊训练区域等，需做好专项管理。对于会议室，提前检查照明、通风等基础条件，保障各类培训、会议活动顺利开展；针对训练馆、器材库房等区域，协助管理相关器材的存放秩序，检查器材存放是否安全合规，并配合相关部门做好器材使用后的归位巡查；对地下室等特殊楼层，重点排查积水、渗漏等问题，保障区域正常使用。</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6、对楼层内的公共财产及设施设备进行登记与核查，确保资产完好。若有大型活动需使用楼层内场地，提前配合做好场地保障的前期巡查与准备工作。</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（八）专业设备设施维修运营保障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1、建立日常设备维护制度，定期检查维护，及时完成各项设备维修任务，维修无特殊原因不得超过24小时。</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对变电室内设备，按照变压器低压开关室、控制室的路线，检查各部位接地情况、有无异声、连接是否紧密牢固、各指示灯及按钮是否正常、机房环境情况等，值班期间每周至少巡检一次，巡检结果记录于《设备巡检记录表》中。雷雨、风雪、高温及发生异常现象等，增加巡视次数。</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3、照明灯具完好率达到95%以上。对基地所有公共照明地区包括亮化与路灯，要每天巡查照明灯具正常使用情况，发现异常及时更换处理。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4、确保项目等给排水设施运行正常。</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5、及时反馈基地相关工程问题，快速通知维保单位到场维修。</w:t>
      </w:r>
      <w:r/>
    </w:p>
    <w:p>
      <w:pPr>
        <w:ind w:firstLine="422"/>
        <w:spacing w:line="360" w:lineRule="auto"/>
        <w:rPr>
          <w:rFonts w:hint="eastAsia" w:ascii="宋体" w:hAnsi="宋体" w:cs="宋体"/>
          <w:b/>
          <w:bCs/>
          <w:iCs/>
          <w:color w:val="auto"/>
          <w:szCs w:val="21"/>
          <w:highlight w:val="none"/>
        </w:rPr>
      </w:pPr>
      <w:r/>
      <w:bookmarkStart w:id="143" w:name="OLE_LINK56"/>
      <w:r/>
      <w:bookmarkStart w:id="144" w:name="OLE_LINK211"/>
      <w:r/>
      <w:bookmarkStart w:id="145" w:name="OLE_LINK212"/>
      <w:r>
        <w:rPr>
          <w:rFonts w:hint="eastAsia" w:ascii="宋体" w:hAnsi="宋体" w:cs="宋体"/>
          <w:b/>
          <w:bCs/>
          <w:iCs/>
          <w:color w:val="auto"/>
          <w:szCs w:val="21"/>
          <w:highlight w:val="none"/>
        </w:rPr>
        <w:t xml:space="preserve">（九）食堂服务</w:t>
      </w:r>
      <w:bookmarkEnd w:id="143"/>
      <w:r/>
      <w:bookmarkEnd w:id="144"/>
      <w:r/>
      <w:bookmarkEnd w:id="145"/>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1、食堂工作人员必须持有健康证，持上岗证。</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2、中标供应商为采购人食堂提供工作餐制作供应服务。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3、餐饮服务要求：确保食品安全，制定每周菜谱，做到菜品花样翻新，做好成本把控，杜绝不必要的浪费。定期收集就餐人员的意见和建议，不断改善服务。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4、厨师负责制定每周菜谱，报采购人审核后实施，每日下班前将第二天需要的食材品种、数量等报采购人，食堂原材料进行验收，严格把关。</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餐具、厨具清洗消毒需严格遵循“一刮、二洗、三冲、四消毒、五保洁”的标准流程，消毒后统一存放于密闭保洁柜内，防止二次污染。操作间、就餐区、储物间等区域需保持常态化整洁，每日定时清洁清扫，地面无油污、积水，台面无杂物、污渍，门窗无灰尘、污渍，墙面无油污、霉斑；食材分类存放，生熟分开、荤素分开，冷藏、冷冻设备温度控制符合标准，定期清理维护，防止食材交叉污染；</w:t>
      </w:r>
      <w:r>
        <w:rPr>
          <w:rFonts w:hint="eastAsia" w:ascii="宋体" w:hAnsi="宋体" w:cs="宋体"/>
          <w:bCs/>
          <w:iCs/>
          <w:color w:val="auto"/>
          <w:szCs w:val="21"/>
          <w:highlight w:val="none"/>
        </w:rPr>
        <w:t xml:space="preserve">每餐次用餐前对每样食品进行留样，杜绝食品安全问题。</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建立完善的食堂服务台账，所有台账整理规范、分类成册，定期汇总上报采购人，确保可追溯。制定食品安全应急预案，针对食材变质、食物中毒、设备故障等突发情况，明确应急处置流程、责任人员及处置措施，定期组织应急演练，确保突发情况能够快速响应、妥善处置，最大限度保障就餐人员身体健康与用餐安全。</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7、</w:t>
      </w:r>
      <w:r>
        <w:rPr>
          <w:rFonts w:ascii="宋体" w:hAnsi="宋体" w:cs="宋体"/>
          <w:bCs/>
          <w:iCs/>
          <w:color w:val="auto"/>
          <w:szCs w:val="21"/>
          <w:highlight w:val="none"/>
        </w:rPr>
        <w:t xml:space="preserve">负责拟订并组织实施食品安全管理制度，明确各岗位责任，组织从业人员进行食品安全法律法规和知识培训</w:t>
      </w:r>
      <w:r>
        <w:rPr>
          <w:rFonts w:hint="eastAsia" w:ascii="宋体" w:hAnsi="宋体" w:cs="宋体"/>
          <w:bCs/>
          <w:iCs/>
          <w:color w:val="auto"/>
          <w:szCs w:val="21"/>
          <w:highlight w:val="none"/>
        </w:rPr>
        <w:t xml:space="preserve">。</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8、</w:t>
      </w:r>
      <w:r>
        <w:rPr>
          <w:rFonts w:ascii="宋体" w:hAnsi="宋体" w:cs="宋体"/>
          <w:bCs/>
          <w:iCs/>
          <w:color w:val="auto"/>
          <w:szCs w:val="21"/>
          <w:highlight w:val="none"/>
        </w:rPr>
        <w:t xml:space="preserve">管理从业人员健康，建立健康档案，组织定期健康检查；建立健全食品安全管理档案，保存相关记录</w:t>
      </w:r>
      <w:r>
        <w:rPr>
          <w:rFonts w:hint="eastAsia" w:ascii="宋体" w:hAnsi="宋体" w:cs="宋体"/>
          <w:bCs/>
          <w:iCs/>
          <w:color w:val="auto"/>
          <w:szCs w:val="21"/>
          <w:highlight w:val="none"/>
        </w:rPr>
        <w:t xml:space="preserve">。</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（十）突发事件应急管理</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1、制定各类突发公共事件应急预案，包括消防应急、群体性事件、安全事故等方案，定期组织培训及演练，确保工作人员熟练掌握应急处置流程。</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2、事发时快速响应，第一时间采取控险、处置措施，同时按流程上报相关部门，配合专职部门开展后续处理工作。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3、秩序维护、监控、消防等岗位建立应急联动机制，发现突发事件时共享信息、协同处置，最大限度降低风险和损失。</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4、应急处置后做好事件记录、复盘，总结问题并优化应急预案，提升后续应急处置能力。</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（十一）绿色后勤服务</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1、通过科学的设备管控、人员管理，降低水电等资源消耗，合理调控公共区域照明、空调开启时间，杜绝长明灯、长流水等浪费现象；定期优化管控方案，进一步提升节能效果。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2、对基地设备设施进行常态化节能化检查，及时排查高耗能设备隐患，助力基地绿色低碳发展；做好节能设备的日常维护，确保其高效运转。</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（十二）建立健全管理制度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根据本项目的具体情况，制定内部管理、日常服务运作等管理方案和管理制度。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1、管理员工行为规范；</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2、管理中心和各部门工作职责；</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3、各类工作人员岗位职责；</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4、各类工作人员培训计划、岗位考核办法和考核奖惩制度；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5、消防制度；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6、秩序维护管理制度；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7、会议服务制度；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8、保密制度；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9、值班制度；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10、交接班制度；</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11、其他管理服务制度。</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（十三）人员管理要求</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1、采购人与派驻服务人员不发生任何劳动、雇佣或者任何其它合同关系,派驻服务人员由中标供应商自行管理,并按法律法规和地方政府的规定支付服务人员的工资、福利、保险、奖金、加班费等一切费用，服务期间发生的劳资纠纷或意外事件，中标供应商承担全部责任，与采购人无关，采购人不提供宿舍。</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2、若采购人加班期间要求提供相关管理服务的,中标供应商应按上班期间要求,保质保量地做好保障工作。</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3、中标供应商的派驻服务人员应遵守安全操作规章制度,若发生人身伤害等工伤事故,由中标供应商负责处理并承担全部责任,与采购人无涉。</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4、中标供应商全部工作人员应专职服务本项目,如遇特殊情况需借用本项目工作人员,须报请采购人批准，并保证本项目正常运行。</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5、遇到投诉处理及时响应并妥善处理，及时处理率100%,有完整的投诉处理记录档案。</w:t>
      </w:r>
      <w:r/>
    </w:p>
    <w:p>
      <w:pPr>
        <w:ind w:firstLine="422"/>
        <w:spacing w:line="360" w:lineRule="auto"/>
        <w:rPr>
          <w:rFonts w:hint="eastAsia" w:ascii="宋体" w:hAnsi="宋体" w:cs="宋体"/>
          <w:b/>
          <w:bCs/>
          <w:iCs/>
          <w:color w:val="auto"/>
          <w:szCs w:val="21"/>
          <w:highlight w:val="none"/>
        </w:rPr>
      </w:pPr>
      <w:r>
        <w:rPr>
          <w:rFonts w:hint="eastAsia" w:ascii="宋体" w:hAnsi="宋体" w:cs="宋体"/>
          <w:b/>
          <w:bCs/>
          <w:iCs/>
          <w:color w:val="auto"/>
          <w:szCs w:val="21"/>
          <w:highlight w:val="none"/>
        </w:rPr>
        <w:t xml:space="preserve">（十四）其他要求</w:t>
      </w:r>
      <w:r/>
    </w:p>
    <w:p>
      <w:pPr>
        <w:ind w:firstLine="435"/>
        <w:spacing w:line="360" w:lineRule="auto"/>
        <w:rPr>
          <w:rFonts w:hint="eastAsia" w:ascii="宋体" w:hAnsi="宋体" w:cs="宋体"/>
          <w:b/>
          <w:i/>
          <w:color w:val="auto"/>
          <w:szCs w:val="21"/>
          <w:highlight w:val="none"/>
          <w:u w:val="single"/>
        </w:rPr>
      </w:pPr>
      <w:r>
        <w:rPr>
          <w:rFonts w:hint="eastAsia" w:ascii="宋体" w:hAnsi="宋体" w:cs="宋体"/>
          <w:bCs/>
          <w:i/>
          <w:color w:val="auto"/>
          <w:szCs w:val="21"/>
          <w:highlight w:val="none"/>
          <w:u w:val="single"/>
        </w:rPr>
        <w:t xml:space="preserve">1、报价应包括所有的费用：</w:t>
      </w:r>
      <w:r>
        <w:rPr>
          <w:rFonts w:hint="eastAsia" w:ascii="宋体" w:hAnsi="宋体" w:cs="宋体"/>
          <w:bCs/>
          <w:i/>
          <w:color w:val="auto"/>
          <w:szCs w:val="21"/>
          <w:highlight w:val="none"/>
          <w:u w:val="single"/>
        </w:rPr>
        <w:t xml:space="preserve">人员工资、社会保险、医疗保险、住房公积金、法定节假日加班费、防暑降温费、员工服装费、办公用品费、工具及耗材费、管理费、税金</w:t>
      </w:r>
      <w:r>
        <w:rPr>
          <w:rFonts w:hint="eastAsia" w:ascii="宋体" w:hAnsi="宋体" w:cs="宋体"/>
          <w:bCs/>
          <w:i/>
          <w:color w:val="auto"/>
          <w:szCs w:val="21"/>
          <w:highlight w:val="none"/>
          <w:u w:val="single"/>
        </w:rPr>
        <w:t xml:space="preserve">等，为完成采购文件规定的服务工作所涉及到的一切相关费用。</w:t>
      </w:r>
      <w:r>
        <w:rPr>
          <w:rFonts w:hint="eastAsia" w:ascii="宋体" w:hAnsi="宋体" w:cs="宋体"/>
          <w:b/>
          <w:i/>
          <w:color w:val="auto"/>
          <w:szCs w:val="21"/>
          <w:highlight w:val="none"/>
          <w:u w:val="single"/>
        </w:rPr>
        <w:t xml:space="preserve">（提供承诺函，格式自拟，系统上传）</w:t>
      </w:r>
      <w:r/>
    </w:p>
    <w:p>
      <w:pPr>
        <w:ind w:firstLine="435"/>
        <w:spacing w:line="360" w:lineRule="auto"/>
        <w:rPr>
          <w:rFonts w:hint="eastAsia" w:ascii="宋体" w:hAnsi="宋体" w:cs="宋体"/>
          <w:b/>
          <w:i/>
          <w:color w:val="auto"/>
          <w:szCs w:val="21"/>
          <w:highlight w:val="none"/>
          <w:u w:val="single"/>
        </w:rPr>
      </w:pPr>
      <w:r>
        <w:rPr>
          <w:rFonts w:hint="eastAsia" w:ascii="宋体" w:hAnsi="宋体" w:cs="宋体"/>
          <w:bCs/>
          <w:i/>
          <w:color w:val="auto"/>
          <w:szCs w:val="21"/>
          <w:highlight w:val="none"/>
          <w:u w:val="single"/>
        </w:rPr>
        <w:t xml:space="preserve">2、</w:t>
      </w:r>
      <w:r>
        <w:rPr>
          <w:rFonts w:hint="eastAsia" w:ascii="宋体" w:hAnsi="宋体" w:cs="宋体"/>
          <w:i/>
          <w:iCs/>
          <w:color w:val="auto"/>
          <w:szCs w:val="21"/>
          <w:highlight w:val="none"/>
          <w:u w:val="single"/>
        </w:rPr>
        <w:t xml:space="preserve">投标人按一年期报价，</w:t>
      </w:r>
      <w:r>
        <w:rPr>
          <w:rFonts w:hint="eastAsia" w:ascii="宋体" w:hAnsi="宋体" w:cs="宋体"/>
          <w:bCs/>
          <w:i/>
          <w:color w:val="auto"/>
          <w:szCs w:val="21"/>
          <w:highlight w:val="none"/>
          <w:u w:val="single"/>
        </w:rPr>
        <w:t xml:space="preserve">报价时，人员工资低于扬州市最低工资标准及未依法测算全员缴纳社会医疗保险、公积金、防暑降温费的作无效报价处理；报价明显低于其他通过符合性审查供应商的报价，有可能影响服务质量或者不能诚信履约的，且不能在评审现场合理的时间内证明其报价合理性的，评标委员会有权将其作为无效投标处理。</w:t>
      </w:r>
      <w:r>
        <w:rPr>
          <w:rFonts w:hint="eastAsia" w:ascii="宋体" w:hAnsi="宋体" w:cs="宋体"/>
          <w:b/>
          <w:i/>
          <w:color w:val="auto"/>
          <w:szCs w:val="21"/>
          <w:highlight w:val="none"/>
          <w:u w:val="single"/>
        </w:rPr>
        <w:t xml:space="preserve">（提供分项报价表，系统上传）</w:t>
      </w:r>
      <w:r/>
    </w:p>
    <w:p>
      <w:pPr>
        <w:ind w:firstLine="420"/>
        <w:spacing w:line="360" w:lineRule="auto"/>
        <w:rPr>
          <w:rFonts w:hint="eastAsia" w:ascii="宋体" w:hAnsi="宋体" w:cs="宋体"/>
          <w:b/>
          <w:i/>
          <w:color w:val="auto"/>
          <w:szCs w:val="21"/>
          <w:highlight w:val="none"/>
          <w:u w:val="single"/>
        </w:rPr>
      </w:pPr>
      <w:r>
        <w:rPr>
          <w:rFonts w:hint="eastAsia" w:ascii="宋体" w:hAnsi="宋体" w:cs="宋体"/>
          <w:bCs/>
          <w:i/>
          <w:color w:val="auto"/>
          <w:szCs w:val="21"/>
          <w:highlight w:val="none"/>
          <w:u w:val="single"/>
        </w:rPr>
        <w:t xml:space="preserve">3、服务人员须报采购人处备案；在工作时间须全员全时在岗，接受采购人的检查和考核。不得有脱岗、混岗、串岗现象发生。</w:t>
      </w:r>
      <w:r>
        <w:rPr>
          <w:rFonts w:hint="eastAsia" w:ascii="宋体" w:hAnsi="宋体" w:cs="宋体"/>
          <w:b/>
          <w:i/>
          <w:color w:val="auto"/>
          <w:szCs w:val="21"/>
          <w:highlight w:val="none"/>
          <w:u w:val="single"/>
        </w:rPr>
        <w:t xml:space="preserve">（提供承诺函，格式自拟，系统上传）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4、中标供应商应配合采购人开展各类创建活动，配合属地社区开展的有关活动。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5、采购人不负责中标供应商所有工作人员的衣食住行等非合同约定事项。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6、中标供应商在签订合同时应向采购人提供派入服务人员花名册（主要管理人员应与投标文件一致）。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7、中标供应商的服务人员须服从采购人的工作安排以及统一调配的要求。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8、如果发生因中标供应商工作失职造成消防事故、失窃事件或其他财产损失和人身伤害，均由中标供应商承担经济和法律责任。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9、中标供应商不得利用服务区域内的采购人房产、水电等资源从事经营活动，不能改变其使用性质。</w:t>
      </w:r>
      <w:r/>
    </w:p>
    <w:p>
      <w:pPr>
        <w:ind w:firstLine="420"/>
        <w:spacing w:line="360" w:lineRule="auto"/>
        <w:rPr>
          <w:rFonts w:hint="eastAsia" w:ascii="宋体" w:hAnsi="宋体" w:cs="宋体"/>
          <w:bCs/>
          <w:iCs/>
          <w:color w:val="auto"/>
          <w:szCs w:val="21"/>
          <w:highlight w:val="none"/>
        </w:rPr>
      </w:pPr>
      <w:r>
        <w:rPr>
          <w:rFonts w:hint="eastAsia" w:ascii="宋体" w:hAnsi="宋体" w:cs="宋体"/>
          <w:color w:val="auto"/>
          <w:szCs w:val="21"/>
          <w:highlight w:val="none"/>
        </w:rPr>
        <w:t xml:space="preserve">10、中标供应商必须遵守国家的法律、法规，依法按时足额缴纳本项目员工的社会统筹保险及医疗保险。所有中标供应商的工作人员应具有良好素养和上岗资质，政治清白，无不良记录及嗜好，爱岗敬业、工作勤快，礼貌待人、和蔼处事，相貌端正、着装统一，身材适中、身体健康（无传染性疾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bookmarkStart w:id="146" w:name="OLE_LINK230"/>
      <w:r/>
      <w:bookmarkStart w:id="147" w:name="OLE_LINK229"/>
      <w:r>
        <w:rPr>
          <w:rFonts w:hint="eastAsia" w:ascii="宋体" w:hAnsi="宋体" w:cs="宋体"/>
          <w:b/>
          <w:bCs/>
          <w:color w:val="auto"/>
          <w:szCs w:val="21"/>
          <w:highlight w:val="none"/>
        </w:rPr>
        <w:t xml:space="preserve">后勤托管一体化服务保障管理考评</w:t>
      </w:r>
      <w:bookmarkEnd w:id="146"/>
      <w:r/>
      <w:bookmarkEnd w:id="147"/>
      <w:r/>
      <w:r/>
    </w:p>
    <w:p>
      <w:pPr>
        <w:ind w:firstLine="422"/>
        <w:jc w:val="center"/>
        <w:spacing w:line="360" w:lineRule="auto"/>
        <w:tabs>
          <w:tab w:val="left" w:pos="900" w:leader="none"/>
        </w:tabs>
        <w:rPr>
          <w:rFonts w:hint="eastAsia" w:ascii="宋体" w:hAnsi="宋体" w:cs="宋体"/>
          <w:b/>
          <w:bCs/>
          <w:color w:val="auto"/>
          <w:szCs w:val="21"/>
          <w:highlight w:val="none"/>
        </w:rPr>
      </w:pPr>
      <w:r/>
      <w:bookmarkStart w:id="148" w:name="OLE_LINK240"/>
      <w:r/>
      <w:bookmarkStart w:id="149" w:name="OLE_LINK241"/>
      <w:r/>
      <w:bookmarkStart w:id="150" w:name="OLE_LINK239"/>
      <w:r>
        <w:rPr>
          <w:rFonts w:hint="eastAsia" w:ascii="宋体" w:hAnsi="宋体" w:cs="宋体"/>
          <w:b/>
          <w:bCs/>
          <w:color w:val="auto"/>
          <w:szCs w:val="21"/>
          <w:highlight w:val="none"/>
        </w:rPr>
        <w:t xml:space="preserve">第一章公司从业人员考评</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1、公司招聘人员，必须符合扬州市警务技能训练基地后勤托管一体化项目的管理需求，思想素质高，具有一定的文化水平和相应专业技能。招聘人员必须到公司备案，如出现未备案者，每发现一次扣0.2分。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2、严格执行登记制度，凡进入基地的外来人员应询问来访目的，查验有效证件，并进行登记。每发现一次未执行扣0.1分。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3、值班人员一定要坚守岗位严禁脱岗。擅自离开岗位或睡觉，每发现一次扣0.5分。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4、秩序维护人员值班时不准嬉笑打闹，</w:t>
      </w:r>
      <w:r>
        <w:rPr>
          <w:rFonts w:hint="eastAsia" w:ascii="宋体" w:hAnsi="宋体" w:cs="宋体"/>
          <w:bCs/>
          <w:color w:val="auto"/>
          <w:szCs w:val="21"/>
          <w:highlight w:val="none"/>
        </w:rPr>
        <w:t xml:space="preserve">不准看手机视频、玩游戏、看报等或进行其他与值班无关的事</w:t>
      </w:r>
      <w:r>
        <w:rPr>
          <w:rFonts w:hint="eastAsia" w:ascii="宋体" w:hAnsi="宋体" w:cs="宋体"/>
          <w:bCs/>
          <w:color w:val="auto"/>
          <w:szCs w:val="21"/>
          <w:highlight w:val="none"/>
        </w:rPr>
        <w:t xml:space="preserve">。每发现一次扣0.2分。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5、秩序维护人员要积极贯彻落实基地的安全保卫工作的管理制度，加强基地的安全保卫管理工作的有关措施，发现一次落实不到位扣0.2分。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6、加强来访人员的引导，</w:t>
      </w:r>
      <w:r>
        <w:rPr>
          <w:rFonts w:hint="eastAsia" w:ascii="宋体" w:hAnsi="宋体" w:cs="宋体"/>
          <w:bCs/>
          <w:color w:val="auto"/>
          <w:szCs w:val="21"/>
          <w:highlight w:val="none"/>
        </w:rPr>
        <w:t xml:space="preserve">严格按照接待来访人员的程序与基地受访部门相关人员做好</w:t>
      </w:r>
      <w:r>
        <w:rPr>
          <w:rFonts w:hint="eastAsia" w:ascii="宋体" w:hAnsi="宋体" w:cs="宋体"/>
          <w:bCs/>
          <w:color w:val="auto"/>
          <w:szCs w:val="21"/>
          <w:highlight w:val="none"/>
        </w:rPr>
        <w:t xml:space="preserve">对接，专职秩序维护人员要充分发挥其作用，妥善有序处置好各类突发事件，每发现一次扣0.2分。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7、秩序维护人员要严格检查进出基地物品，严禁易燃、易爆、有毒等危险物品进入大楼，严格按照出入门卫管理制度进行管理，每发现一次未检查扣1分。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8、停车场无安全责任事故，车辆有序停放，每发现一次扣0.2分;</w:t>
      </w:r>
      <w:r/>
    </w:p>
    <w:p>
      <w:pPr>
        <w:ind w:firstLine="422"/>
        <w:jc w:val="center"/>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第二章治安、消防管理考评</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rPr>
        <w:t xml:space="preserve">、</w:t>
      </w:r>
      <w:bookmarkStart w:id="151" w:name="OLE_LINK243"/>
      <w:r/>
      <w:bookmarkStart w:id="152" w:name="OLE_LINK244"/>
      <w:r>
        <w:rPr>
          <w:rFonts w:hint="eastAsia" w:ascii="宋体" w:hAnsi="宋体" w:cs="宋体"/>
          <w:bCs/>
          <w:color w:val="auto"/>
          <w:szCs w:val="21"/>
          <w:highlight w:val="none"/>
        </w:rPr>
        <w:t xml:space="preserve">基地</w:t>
      </w:r>
      <w:bookmarkEnd w:id="151"/>
      <w:r/>
      <w:bookmarkEnd w:id="152"/>
      <w:r>
        <w:rPr>
          <w:rFonts w:hint="eastAsia" w:ascii="宋体" w:hAnsi="宋体" w:cs="宋体"/>
          <w:bCs/>
          <w:color w:val="auto"/>
          <w:szCs w:val="21"/>
          <w:highlight w:val="none"/>
        </w:rPr>
        <w:t xml:space="preserve">出入口附近严禁打架、斗殴、寻衅滋事的事件发生，</w:t>
      </w:r>
      <w:r>
        <w:rPr>
          <w:rFonts w:hint="eastAsia" w:ascii="宋体" w:hAnsi="宋体" w:cs="宋体"/>
          <w:bCs/>
          <w:color w:val="auto"/>
          <w:szCs w:val="21"/>
          <w:highlight w:val="none"/>
        </w:rPr>
        <w:t xml:space="preserve">确保基地秩序；严禁基地设施人为破坏行为。每发现一次扣0.5分。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2、基地保卫力量必须通力合作，协调配合，不能因自身原因影响团结。发现一次不合格者扣0.2分。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3、消防设施设备齐全，无丢失；消火栓无私自动用。每发现一次不合格扣0.5分。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4、楼梯过道无违规占用、无杂物堆放等现象。每发现一次不合格扣0.3分。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rPr>
        <w:t xml:space="preserve">消防设备、器材和消防安全标志是否在位，状态是否良好，发现超出有效期或破损等不能正常使用情况，应及时上报进行维修更换。每发现一次不合格的扣0.1分。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6、防止爆炸、火灾等恶性事故的发生，因工作失职而发生此类事故的实行一票否决。</w:t>
      </w:r>
      <w:r/>
    </w:p>
    <w:p>
      <w:pPr>
        <w:ind w:firstLine="422"/>
        <w:jc w:val="center"/>
        <w:spacing w:line="360" w:lineRule="auto"/>
        <w:tabs>
          <w:tab w:val="left" w:pos="900" w:leader="none"/>
        </w:tabs>
        <w:rPr>
          <w:rFonts w:hint="eastAsia" w:ascii="宋体" w:hAnsi="宋体" w:cs="宋体"/>
          <w:b/>
          <w:bCs/>
          <w:color w:val="auto"/>
          <w:szCs w:val="21"/>
          <w:highlight w:val="none"/>
        </w:rPr>
      </w:pPr>
      <w:r/>
      <w:bookmarkStart w:id="153" w:name="OLE_LINK246"/>
      <w:r/>
      <w:bookmarkStart w:id="154" w:name="OLE_LINK245"/>
      <w:r/>
      <w:bookmarkStart w:id="155" w:name="OLE_LINK247"/>
      <w:r/>
      <w:bookmarkStart w:id="156" w:name="OLE_LINK98"/>
      <w:r/>
      <w:bookmarkStart w:id="157" w:name="OLE_LINK99"/>
      <w:r>
        <w:rPr>
          <w:rFonts w:hint="eastAsia" w:ascii="宋体" w:hAnsi="宋体" w:cs="宋体"/>
          <w:b/>
          <w:bCs/>
          <w:color w:val="auto"/>
          <w:szCs w:val="21"/>
          <w:highlight w:val="none"/>
        </w:rPr>
        <w:t xml:space="preserve">第三章会务考评</w:t>
      </w:r>
      <w:bookmarkEnd w:id="153"/>
      <w:r/>
      <w:bookmarkEnd w:id="154"/>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1、做好会议室的清洁，整洁达到《会议服务工作标准》要求。一处不符合扣0.1分。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2、根据会议人数确认所需要的桌、椅数量，并摆成需要的形状。一处不符合扣0.1分。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3、按照会议要求准备合格的会议用品，提前准备好茶水、资料（具体视情况而定）并请会议主办单位确认。一处不符合扣0.1分。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4、服务人员应在半小时前严格按要求着装上岗，及时开启、检查需要的会议设备，确保会议的可持续性。一处不符合扣0.5分。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color w:val="auto"/>
          <w:highlight w:val="none"/>
        </w:rPr>
        <w:t xml:space="preserve">会议期间维护会场周边外围秩序，发现大声喧哗等现象及时文明制止，有序引导离开，未及时制止，影响会议正常进行的，一处不符合扣0.5分。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6、会议结束。参会人员离开后，服务人员着手清场工作，关闭设备及照明，查看有无遗留物品和会议资料，如发现需及时联系。抽查不符合扣0.5分。</w:t>
      </w:r>
      <w:bookmarkEnd w:id="155"/>
      <w:r/>
      <w:r/>
    </w:p>
    <w:p>
      <w:pPr>
        <w:ind w:firstLine="422"/>
        <w:jc w:val="center"/>
        <w:spacing w:line="360" w:lineRule="auto"/>
        <w:tabs>
          <w:tab w:val="left" w:pos="900" w:leader="none"/>
        </w:tabs>
        <w:rPr>
          <w:rFonts w:hint="eastAsia" w:ascii="宋体" w:hAnsi="宋体" w:cs="宋体"/>
          <w:b/>
          <w:bCs/>
          <w:color w:val="auto"/>
          <w:szCs w:val="21"/>
          <w:highlight w:val="none"/>
        </w:rPr>
      </w:pPr>
      <w:r/>
      <w:bookmarkStart w:id="158" w:name="OLE_LINK251"/>
      <w:r/>
      <w:bookmarkStart w:id="159" w:name="OLE_LINK250"/>
      <w:r>
        <w:rPr>
          <w:rFonts w:hint="eastAsia" w:ascii="宋体" w:hAnsi="宋体" w:cs="宋体"/>
          <w:b/>
          <w:bCs/>
          <w:color w:val="auto"/>
          <w:szCs w:val="21"/>
          <w:highlight w:val="none"/>
        </w:rPr>
        <w:t xml:space="preserve">第四章食堂服务考评</w:t>
      </w:r>
      <w:bookmarkEnd w:id="158"/>
      <w:r/>
      <w:bookmarkEnd w:id="159"/>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严格落实食堂全区域清洁要求，操作间、售餐区、就餐区、储物间等区域的整洁度需符合《扬州市警务技能训练基地食堂服务工作规范》，地面无油污积水、台面无杂物残留、门窗无污渍灰尘。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2、依据训练基地参训人员、教职工及临时保障人员的实时人数，精准核算餐食分量，提前完成餐桌椅摆放及就餐区域划分，确保布局合理、通行顺畅。一处不符合扣0.1分。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3、按照基地餐食标准及特殊需求准备合格餐食与配套用品，餐食制作前经基地后勤管理部门确认，提前备好餐具、调味品等物资。一处不符合扣0.1分。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4、服务及后厨人员需在每日首餐供应前1小时到岗，严格按规定着装，提前检查蒸饭车、保温台、消毒柜等设备运行状况，确保餐食供应稳定有序。一处不符合扣0.5分。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rPr>
        <w:t xml:space="preserve">出餐时主动践行“文明服务”要求，用语规范、态度热情，根据参训人员入住人数和训练强度供餐，</w:t>
      </w:r>
      <w:r>
        <w:rPr>
          <w:rFonts w:hint="eastAsia"/>
          <w:color w:val="auto"/>
          <w:highlight w:val="none"/>
        </w:rPr>
        <w:t xml:space="preserve">发现餐量不足时及时增加，因供应不足引起就餐人员投诉，或者份量把握不准造成明显浪费的，</w:t>
      </w:r>
      <w:r>
        <w:rPr>
          <w:rFonts w:hint="eastAsia" w:ascii="宋体" w:hAnsi="宋体" w:cs="宋体"/>
          <w:bCs/>
          <w:color w:val="auto"/>
          <w:szCs w:val="21"/>
          <w:highlight w:val="none"/>
        </w:rPr>
        <w:t xml:space="preserve">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6、餐具清洗消毒流程全程留痕，需经过“一刮、二洗、三冲、四消毒、五保洁”环节，消毒后的餐具细菌检测符合国家标准，存放于密闭柜内，抽查不符合扣0.3分。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7、就餐时段安排专人维护秩序，引导人员有序排队、文明就餐，及时清理餐桌餐后垃圾与污渍，每30分钟对就餐区公共设施进行一次表面清洁。一处不符合扣0.1分。</w:t>
      </w:r>
      <w:r/>
    </w:p>
    <w:p>
      <w:pPr>
        <w:ind w:firstLine="420"/>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8、</w:t>
      </w:r>
      <w:r>
        <w:rPr>
          <w:rFonts w:hint="eastAsia"/>
          <w:color w:val="auto"/>
          <w:highlight w:val="none"/>
        </w:rPr>
        <w:t xml:space="preserve"> </w:t>
      </w:r>
      <w:r>
        <w:rPr>
          <w:rFonts w:hint="eastAsia" w:ascii="宋体" w:hAnsi="宋体" w:cs="宋体"/>
          <w:bCs/>
          <w:iCs/>
          <w:color w:val="auto"/>
          <w:szCs w:val="21"/>
          <w:highlight w:val="none"/>
        </w:rPr>
        <w:t xml:space="preserve">每餐次用餐前对每样食品进行留样，在专用冷藏设备里保存不低于48小时，以确保样品的完整性和不受污染，杜绝食品安全问题，发现一次不符合要求，扣1分。如果发生疑似食品安全事件，因未留样或未按要求留样，因无法通过</w:t>
      </w:r>
      <w:r>
        <w:rPr>
          <w:rFonts w:ascii="宋体" w:hAnsi="宋体" w:cs="宋体"/>
          <w:bCs/>
          <w:iCs/>
          <w:color w:val="auto"/>
          <w:szCs w:val="21"/>
          <w:highlight w:val="none"/>
        </w:rPr>
        <w:t xml:space="preserve">留样食品检测确定原因</w:t>
      </w:r>
      <w:r>
        <w:rPr>
          <w:rFonts w:hint="eastAsia" w:ascii="宋体" w:hAnsi="宋体" w:cs="宋体"/>
          <w:bCs/>
          <w:iCs/>
          <w:color w:val="auto"/>
          <w:szCs w:val="21"/>
          <w:highlight w:val="none"/>
        </w:rPr>
        <w:t xml:space="preserve">的，直接判定当季考评不合格。</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9、每日餐食供应结束后，1小时内完成清场工作，彻底清理操作间油污、洗刷厨具，关闭水电燃气及各类设备，检查有无参训人员遗留物品并及时报备基地后勤部门。一处不符合扣0.5分。</w:t>
      </w:r>
      <w:bookmarkEnd w:id="156"/>
      <w:r/>
      <w:bookmarkEnd w:id="157"/>
      <w:r/>
      <w:r/>
    </w:p>
    <w:p>
      <w:pPr>
        <w:ind w:firstLine="422"/>
        <w:jc w:val="center"/>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第五章楼层管理服务考评</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1、每日开展楼层清洁巡查工作，重点检查公共区域地面、墙面、门窗及设施表面清洁状况，巡查记录完整详实。一处不符合或记录缺失扣0.1分。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2、根据楼层功能分区及使用需求，核对公共区域桌椅、标识牌等设施数量，确保摆放规范、位置准确，无移位、损坏情况。一处不符合扣0.1分。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3、按照基地要求，提前准备楼层公共区域所需的便民物资，定期检查物资完好度及补给情况，并报基地后勤管理部门确认。一处不符合扣0.1分。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4、楼层管理员需在每日训练及办公开始前半小时到岗，严格按规定着装，及时开启公共区域照明、通风设备，检查电梯、消防设施等运行状况，确保使用安全。一处不符合扣0.5分。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5、训练及办公期间，实时维护楼层秩序，引导人员有序通行，及时劝阻违规行为，主动响应参训人员及教职工的合理需求，服务态度热情周到。一处不符合扣0.1分。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6、严格执行楼层安全巡查制度，每2小时对楼梯间、消防通道、配电房等重点区域进行安全检查，排查消防隐患、设备故障等问题，建立问题台账并及时上报处置。一处漏查或处置不及时扣0.2分。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7、每日训练及办公结束后，开展楼层收尾巡查，关闭公共区域非必要设备及照明，检查门窗锁闭情况，查看有无遗留物品，发现后及时联系失主并报备基地相关部门。抽查不符合扣0.5分。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8、定期对楼层公共设施进行消毒处理，消毒记录清晰可查，消毒频次及标准符合基地防疫要求。一处不符合扣0.1分。</w:t>
      </w:r>
      <w:r/>
    </w:p>
    <w:p>
      <w:pPr>
        <w:ind w:firstLine="420"/>
        <w:spacing w:line="360" w:lineRule="auto"/>
        <w:tabs>
          <w:tab w:val="left" w:pos="9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9、每月收集参训人员及教职工对楼层管理服务的意见建议，形成反馈报告并落实整改措施，整改情况需经基地后勤管理部门核实。未按要求执行扣0.2分。</w:t>
      </w:r>
      <w:r/>
    </w:p>
    <w:p>
      <w:pPr>
        <w:ind w:firstLine="422"/>
        <w:jc w:val="center"/>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第六章问责（处罚）</w:t>
      </w:r>
      <w:r/>
    </w:p>
    <w:p>
      <w:pPr>
        <w:ind w:firstLine="420"/>
        <w:spacing w:line="360" w:lineRule="auto"/>
        <w:tabs>
          <w:tab w:val="left" w:pos="1350" w:leader="none"/>
        </w:tabs>
        <w:rPr>
          <w:rFonts w:hint="eastAsia" w:ascii="宋体" w:hAnsi="宋体" w:cs="宋体"/>
          <w:b/>
          <w:color w:val="auto"/>
          <w:szCs w:val="21"/>
          <w:highlight w:val="none"/>
        </w:rPr>
      </w:pPr>
      <w:r>
        <w:rPr>
          <w:rFonts w:hint="eastAsia" w:ascii="宋体" w:hAnsi="宋体" w:cs="宋体"/>
          <w:bCs/>
          <w:color w:val="auto"/>
          <w:szCs w:val="21"/>
          <w:highlight w:val="none"/>
        </w:rPr>
        <w:t xml:space="preserve">每季度考核平均分达到90分以上（含90分）为合格，该季度服务费全额支付；每低于1分，该季度应支付管理费扣除0.5%。</w:t>
      </w:r>
      <w:bookmarkEnd w:id="148"/>
      <w:r/>
      <w:bookmarkEnd w:id="149"/>
      <w:r/>
      <w:bookmarkEnd w:id="150"/>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八、节能产品要求</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cs="宋体"/>
          <w:b/>
          <w:bCs/>
          <w:i/>
          <w:iCs/>
          <w:color w:val="auto"/>
          <w:szCs w:val="21"/>
          <w:highlight w:val="none"/>
          <w:u w:val="single"/>
        </w:rPr>
        <w:t xml:space="preserve">（本项目涉及强制采购范围内产品有：无）</w:t>
      </w:r>
      <w:r/>
    </w:p>
    <w:p>
      <w:pPr>
        <w:ind w:firstLine="422"/>
        <w:jc w:val="left"/>
        <w:pageBreakBefore w:val="0"/>
        <w:spacing w:line="360" w:lineRule="auto"/>
        <w:rPr>
          <w:rFonts w:ascii="Times New Roman" w:hAnsi="Times New Roman" w:eastAsia="宋体" w:cs="宋体"/>
          <w:b/>
          <w:bCs/>
          <w:i/>
          <w:iCs/>
          <w:color w:val="auto"/>
          <w:szCs w:val="21"/>
          <w:highlight w:val="none"/>
          <w:u w:val="single"/>
        </w:rPr>
      </w:pPr>
      <w:r>
        <w:rPr>
          <w:rFonts w:ascii="Times New Roman" w:hAnsi="Times New Roman" w:eastAsia="宋体" w:cs="宋体"/>
          <w:b/>
          <w:bCs/>
          <w:i/>
          <w:iCs/>
          <w:color w:val="auto"/>
          <w:szCs w:val="21"/>
          <w:highlight w:val="none"/>
          <w:u w:val="single"/>
        </w:rPr>
      </w:r>
      <w:r/>
    </w:p>
    <w:p>
      <w:pPr>
        <w:pStyle w:val="884"/>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4"/>
        <w:jc w:val="center"/>
        <w:pageBreakBefore w:val="0"/>
        <w:spacing w:before="0" w:after="0" w:line="360" w:lineRule="auto"/>
        <w:rPr>
          <w:rFonts w:ascii="Times New Roman" w:hAnsi="Times New Roman" w:eastAsia="宋体"/>
          <w:color w:val="auto"/>
          <w:sz w:val="36"/>
          <w:szCs w:val="36"/>
          <w:highlight w:val="none"/>
        </w:rPr>
      </w:pPr>
      <w:r/>
      <w:bookmarkStart w:id="160" w:name="_Toc7661"/>
      <w:r>
        <w:rPr>
          <w:rFonts w:hint="eastAsia" w:ascii="Times New Roman" w:hAnsi="Times New Roman" w:eastAsia="宋体"/>
          <w:color w:val="auto"/>
          <w:sz w:val="36"/>
          <w:szCs w:val="36"/>
          <w:highlight w:val="none"/>
        </w:rPr>
        <w:t xml:space="preserve">第五章</w:t>
      </w:r>
      <w:r>
        <w:rPr>
          <w:rFonts w:hint="eastAsia" w:ascii="Times New Roman" w:hAnsi="Times New Roman"/>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0"/>
      <w:r/>
      <w:bookmarkEnd w:id="160"/>
      <w:r/>
      <w:r/>
    </w:p>
    <w:p>
      <w:pPr>
        <w:pStyle w:val="919"/>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9"/>
        <w:ind w:firstLine="420"/>
        <w:pageBreakBefore w:val="0"/>
        <w:spacing w:before="0" w:after="0" w:line="360" w:lineRule="auto"/>
        <w:rPr>
          <w:rFonts w:ascii="Times New Roman" w:hAnsi="Times New Roman" w:eastAsia="宋体"/>
          <w:color w:val="auto"/>
          <w:sz w:val="21"/>
          <w:szCs w:val="21"/>
          <w:highlight w:val="none"/>
        </w:rPr>
      </w:pPr>
      <w:r/>
      <w:bookmarkStart w:id="161" w:name="_Toc449017024"/>
      <w:r/>
      <w:bookmarkStart w:id="162"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161"/>
      <w:r/>
      <w:bookmarkEnd w:id="162"/>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9"/>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9"/>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888"/>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7809"/>
      </w:tblGrid>
      <w:tr>
        <w:trPr>
          <w:jc w:val="center"/>
          <w:trHeight w:val="577"/>
        </w:trPr>
        <w:tc>
          <w:tcPr>
            <w:tcW w:w="1122" w:type="dxa"/>
            <w:vAlign w:val="center"/>
            <w:textDirection w:val="lrTb"/>
            <w:noWrap w:val="false"/>
          </w:tcPr>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项目</w:t>
            </w:r>
            <w:r/>
          </w:p>
        </w:tc>
        <w:tc>
          <w:tcPr>
            <w:tcW w:w="7809" w:type="dxa"/>
            <w:vAlign w:val="center"/>
            <w:textDirection w:val="lrTb"/>
            <w:noWrap w:val="false"/>
          </w:tcPr>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评分标准</w:t>
            </w:r>
            <w:r/>
          </w:p>
        </w:tc>
      </w:tr>
      <w:tr>
        <w:trPr>
          <w:jc w:val="center"/>
          <w:trHeight w:val="1122"/>
        </w:trPr>
        <w:tc>
          <w:tcPr>
            <w:tcW w:w="1122"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价格</w:t>
            </w:r>
            <w:r/>
          </w:p>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w:t>
            </w:r>
            <w:r/>
          </w:p>
        </w:tc>
        <w:tc>
          <w:tcPr>
            <w:tcW w:w="7809" w:type="dxa"/>
            <w:vAlign w:val="center"/>
            <w:textDirection w:val="lrTb"/>
            <w:noWrap w:val="false"/>
          </w:tcPr>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以满足招标文件要求的投标人最低报价为基准价，得满分10分，其他报价=（基准价/报价）×10×100%，保留小数点后两位。</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b/>
                <w:bCs/>
                <w:color w:val="auto"/>
                <w:sz w:val="21"/>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投标处理。</w:t>
            </w:r>
            <w:r/>
          </w:p>
        </w:tc>
      </w:tr>
      <w:tr>
        <w:trPr>
          <w:jc w:val="center"/>
          <w:trHeight w:val="728"/>
        </w:trPr>
        <w:tc>
          <w:tcPr>
            <w:tcW w:w="1122" w:type="dxa"/>
            <w:vAlign w:val="center"/>
            <w:textDirection w:val="lrTb"/>
            <w:noWrap w:val="false"/>
          </w:tcPr>
          <w:p>
            <w:pPr>
              <w:jc w:val="cente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人员配置</w:t>
            </w:r>
            <w:r/>
          </w:p>
          <w:p>
            <w:pPr>
              <w:jc w:val="center"/>
              <w:spacing w:line="360" w:lineRule="auto"/>
              <w:rPr>
                <w:rFonts w:hint="eastAsia" w:ascii="Times New Roman" w:hAnsi="Times New Roman" w:eastAsia="宋体" w:cs="宋体"/>
                <w:b w:val="0"/>
                <w:bCs w:val="0"/>
                <w:color w:val="auto"/>
                <w:sz w:val="21"/>
                <w:szCs w:val="21"/>
                <w:highlight w:val="none"/>
              </w:rPr>
            </w:pPr>
            <w:r>
              <w:rPr>
                <w:rFonts w:hint="eastAsia" w:ascii="宋体" w:hAnsi="宋体" w:cs="仿宋"/>
                <w:color w:val="auto"/>
                <w:sz w:val="21"/>
                <w:szCs w:val="21"/>
                <w:highlight w:val="none"/>
              </w:rPr>
              <w:t xml:space="preserve">（23分）</w:t>
            </w:r>
            <w:r/>
          </w:p>
        </w:tc>
        <w:tc>
          <w:tcPr>
            <w:tcW w:w="7809" w:type="dxa"/>
            <w:vAlign w:val="center"/>
            <w:textDirection w:val="lrTb"/>
            <w:noWrap w:val="false"/>
          </w:tcPr>
          <w:p>
            <w:pPr>
              <w:jc w:val="left"/>
              <w:spacing w:line="360" w:lineRule="auto"/>
              <w:rPr>
                <w:rFonts w:ascii="宋体" w:hAnsi="宋体" w:cs="宋体"/>
                <w:b/>
                <w:bCs/>
                <w:color w:val="auto"/>
                <w:sz w:val="21"/>
                <w:szCs w:val="21"/>
                <w:highlight w:val="none"/>
              </w:rPr>
            </w:pPr>
            <w:r>
              <w:rPr>
                <w:rFonts w:hint="eastAsia" w:ascii="宋体" w:hAnsi="宋体" w:cs="仿宋"/>
                <w:color w:val="auto"/>
                <w:sz w:val="21"/>
                <w:szCs w:val="21"/>
                <w:highlight w:val="none"/>
              </w:rPr>
              <w:t xml:space="preserve">1、拟派项目负责人：男女不限，40周岁（含）以下，具有本科及以上学历的得1分，</w:t>
            </w:r>
            <w:r>
              <w:rPr>
                <w:rFonts w:hint="eastAsia" w:ascii="宋体" w:hAnsi="宋体" w:cs="Calibri"/>
                <w:color w:val="auto"/>
                <w:sz w:val="21"/>
                <w:szCs w:val="21"/>
                <w:highlight w:val="none"/>
              </w:rPr>
              <w:t xml:space="preserve">具有</w:t>
            </w:r>
            <w:r>
              <w:rPr>
                <w:rFonts w:hint="eastAsia" w:ascii="宋体" w:hAnsi="宋体" w:cs="Calibri"/>
                <w:color w:val="auto"/>
                <w:sz w:val="21"/>
                <w:szCs w:val="21"/>
                <w:highlight w:val="none"/>
                <w:lang w:val="en-US" w:eastAsia="zh-CN"/>
              </w:rPr>
              <w:t xml:space="preserve">政府有关</w:t>
            </w:r>
            <w:r>
              <w:rPr>
                <w:rFonts w:hint="eastAsia" w:ascii="宋体" w:hAnsi="宋体" w:cs="Calibri"/>
                <w:color w:val="auto"/>
                <w:sz w:val="21"/>
                <w:szCs w:val="21"/>
                <w:highlight w:val="none"/>
              </w:rPr>
              <w:t xml:space="preserve">部门颁发的</w:t>
            </w:r>
            <w:r>
              <w:rPr>
                <w:rFonts w:hint="eastAsia" w:ascii="宋体" w:hAnsi="宋体" w:cs="仿宋"/>
                <w:color w:val="auto"/>
                <w:sz w:val="21"/>
                <w:szCs w:val="21"/>
                <w:highlight w:val="none"/>
              </w:rPr>
              <w:t xml:space="preserve">四级及以上建（构）筑物消防员证书或</w:t>
            </w:r>
            <w:r>
              <w:rPr>
                <w:rFonts w:hint="eastAsia" w:ascii="宋体" w:hAnsi="宋体" w:cs="宋体"/>
                <w:color w:val="auto"/>
                <w:szCs w:val="21"/>
                <w:highlight w:val="none"/>
              </w:rPr>
              <w:t xml:space="preserve">四级及以上</w:t>
            </w:r>
            <w:r>
              <w:rPr>
                <w:rFonts w:hint="eastAsia" w:ascii="宋体" w:hAnsi="宋体" w:cs="仿宋"/>
                <w:color w:val="auto"/>
                <w:sz w:val="21"/>
                <w:szCs w:val="21"/>
                <w:highlight w:val="none"/>
              </w:rPr>
              <w:t xml:space="preserve">消防设施操作员证的</w:t>
            </w:r>
            <w:r>
              <w:rPr>
                <w:rFonts w:hint="eastAsia" w:ascii="宋体" w:hAnsi="宋体" w:cs="仿宋_GB2312"/>
                <w:color w:val="auto"/>
                <w:sz w:val="21"/>
                <w:szCs w:val="21"/>
                <w:highlight w:val="none"/>
              </w:rPr>
              <w:t xml:space="preserve">得1分，</w:t>
            </w:r>
            <w:r>
              <w:rPr>
                <w:rFonts w:hint="eastAsia" w:ascii="宋体" w:hAnsi="宋体" w:cs="仿宋"/>
                <w:color w:val="auto"/>
                <w:sz w:val="21"/>
                <w:szCs w:val="21"/>
                <w:highlight w:val="none"/>
              </w:rPr>
              <w:t xml:space="preserve">具有管理类中级</w:t>
            </w:r>
            <w:r>
              <w:rPr>
                <w:rFonts w:hint="eastAsia" w:ascii="宋体" w:hAnsi="宋体" w:cs="宋体"/>
                <w:color w:val="auto"/>
                <w:sz w:val="21"/>
                <w:szCs w:val="21"/>
                <w:highlight w:val="none"/>
              </w:rPr>
              <w:t xml:space="preserve">及以上职称</w:t>
            </w:r>
            <w:r>
              <w:rPr>
                <w:rFonts w:hint="eastAsia" w:ascii="宋体" w:hAnsi="宋体" w:cs="仿宋"/>
                <w:color w:val="auto"/>
                <w:sz w:val="21"/>
                <w:szCs w:val="21"/>
                <w:highlight w:val="none"/>
              </w:rPr>
              <w:t xml:space="preserve">证书的得1分</w:t>
            </w:r>
            <w:r>
              <w:rPr>
                <w:rFonts w:hint="eastAsia" w:ascii="宋体" w:hAnsi="宋体" w:cs="Calibri"/>
                <w:color w:val="auto"/>
                <w:sz w:val="21"/>
                <w:szCs w:val="21"/>
                <w:highlight w:val="none"/>
              </w:rPr>
              <w:t xml:space="preserve">，满</w:t>
            </w:r>
            <w:r>
              <w:rPr>
                <w:rFonts w:hint="eastAsia" w:ascii="宋体" w:hAnsi="宋体" w:cs="仿宋"/>
                <w:color w:val="auto"/>
                <w:sz w:val="21"/>
                <w:szCs w:val="21"/>
                <w:highlight w:val="none"/>
              </w:rPr>
              <w:t xml:space="preserve">分3分</w:t>
            </w:r>
            <w:r>
              <w:rPr>
                <w:rFonts w:hint="eastAsia" w:ascii="宋体" w:hAnsi="宋体" w:cs="Calibri"/>
                <w:color w:val="auto"/>
                <w:sz w:val="21"/>
                <w:szCs w:val="21"/>
                <w:highlight w:val="none"/>
              </w:rPr>
              <w:t xml:space="preserve">。</w:t>
            </w:r>
            <w:r>
              <w:rPr>
                <w:rFonts w:hint="eastAsia" w:ascii="宋体" w:hAnsi="宋体" w:cs="宋体"/>
                <w:b/>
                <w:bCs/>
                <w:color w:val="auto"/>
                <w:sz w:val="21"/>
                <w:szCs w:val="21"/>
                <w:highlight w:val="none"/>
              </w:rPr>
              <w:t xml:space="preserve">【提供身份证正反面、学历证书及学信网查询截图、</w:t>
            </w:r>
            <w:r>
              <w:rPr>
                <w:rFonts w:hint="eastAsia" w:ascii="宋体" w:hAnsi="宋体" w:cs="宋体"/>
                <w:b/>
                <w:bCs/>
                <w:color w:val="auto"/>
                <w:sz w:val="21"/>
                <w:szCs w:val="21"/>
                <w:highlight w:val="none"/>
                <w:lang w:val="en-US" w:eastAsia="zh-CN"/>
              </w:rPr>
              <w:t xml:space="preserve">政府有关</w:t>
            </w:r>
            <w:r>
              <w:rPr>
                <w:rFonts w:hint="eastAsia" w:ascii="宋体" w:hAnsi="宋体" w:cs="宋体"/>
                <w:b/>
                <w:bCs/>
                <w:color w:val="auto"/>
                <w:sz w:val="21"/>
                <w:szCs w:val="21"/>
                <w:highlight w:val="none"/>
              </w:rPr>
              <w:t xml:space="preserve">部</w:t>
            </w:r>
            <w:r>
              <w:rPr>
                <w:rFonts w:hint="eastAsia" w:ascii="宋体" w:hAnsi="宋体" w:cs="宋体"/>
                <w:b/>
                <w:bCs/>
                <w:color w:val="auto"/>
                <w:sz w:val="21"/>
                <w:szCs w:val="21"/>
                <w:highlight w:val="none"/>
              </w:rPr>
              <w:t xml:space="preserve">门颁发的四级及以上建（构）筑物消防员证书或</w:t>
            </w:r>
            <w:r>
              <w:rPr>
                <w:rFonts w:hint="eastAsia" w:ascii="宋体" w:hAnsi="宋体" w:cs="宋体"/>
                <w:b/>
                <w:bCs/>
                <w:color w:val="auto"/>
                <w:sz w:val="21"/>
                <w:szCs w:val="21"/>
                <w:highlight w:val="none"/>
              </w:rPr>
              <w:t xml:space="preserve">四级及以上</w:t>
            </w:r>
            <w:r>
              <w:rPr>
                <w:rFonts w:hint="eastAsia" w:ascii="宋体" w:hAnsi="宋体" w:cs="宋体"/>
                <w:b/>
                <w:bCs/>
                <w:color w:val="auto"/>
                <w:sz w:val="21"/>
                <w:szCs w:val="21"/>
                <w:highlight w:val="none"/>
              </w:rPr>
              <w:t xml:space="preserve">消防设施操作员证</w:t>
            </w:r>
            <w:r>
              <w:rPr>
                <w:rFonts w:hint="eastAsia" w:ascii="宋体" w:hAnsi="宋体" w:cs="Calibri"/>
                <w:b/>
                <w:bCs/>
                <w:color w:val="auto"/>
                <w:sz w:val="21"/>
                <w:szCs w:val="21"/>
                <w:highlight w:val="none"/>
              </w:rPr>
              <w:t xml:space="preserve">、</w:t>
            </w:r>
            <w:r>
              <w:rPr>
                <w:rFonts w:hint="eastAsia" w:ascii="宋体" w:hAnsi="宋体" w:cs="宋体"/>
                <w:b/>
                <w:bCs/>
                <w:color w:val="auto"/>
                <w:sz w:val="21"/>
                <w:szCs w:val="21"/>
                <w:highlight w:val="none"/>
              </w:rPr>
              <w:t xml:space="preserve">职称</w:t>
            </w:r>
            <w:r>
              <w:rPr>
                <w:rFonts w:hint="eastAsia" w:ascii="宋体" w:hAnsi="宋体" w:cs="仿宋"/>
                <w:b/>
                <w:bCs/>
                <w:color w:val="auto"/>
                <w:sz w:val="21"/>
                <w:szCs w:val="21"/>
                <w:highlight w:val="none"/>
              </w:rPr>
              <w:t xml:space="preserve">证书，</w:t>
            </w:r>
            <w:r>
              <w:rPr>
                <w:rFonts w:hint="eastAsia" w:ascii="宋体" w:hAnsi="宋体" w:cs="Calibri"/>
                <w:b/>
                <w:bCs/>
                <w:color w:val="auto"/>
                <w:sz w:val="21"/>
                <w:szCs w:val="21"/>
                <w:highlight w:val="none"/>
              </w:rPr>
              <w:t xml:space="preserve">原件扫描上传</w:t>
            </w:r>
            <w:r>
              <w:rPr>
                <w:rFonts w:hint="eastAsia" w:ascii="宋体" w:hAnsi="宋体" w:cs="宋体"/>
                <w:b/>
                <w:bCs/>
                <w:color w:val="auto"/>
                <w:sz w:val="21"/>
                <w:szCs w:val="21"/>
                <w:highlight w:val="none"/>
              </w:rPr>
              <w:t xml:space="preserve">】</w:t>
            </w:r>
            <w:r/>
          </w:p>
          <w:p>
            <w:pPr>
              <w:jc w:val="left"/>
              <w:spacing w:line="360" w:lineRule="auto"/>
              <w:rPr>
                <w:rFonts w:ascii="宋体" w:hAnsi="宋体" w:cs="宋体"/>
                <w:b/>
                <w:bCs/>
                <w:color w:val="auto"/>
                <w:sz w:val="21"/>
                <w:szCs w:val="21"/>
                <w:highlight w:val="none"/>
              </w:rPr>
            </w:pPr>
            <w:r>
              <w:rPr>
                <w:rFonts w:hint="eastAsia" w:ascii="宋体" w:hAnsi="宋体" w:cs="仿宋"/>
                <w:color w:val="auto"/>
                <w:sz w:val="21"/>
                <w:szCs w:val="21"/>
                <w:highlight w:val="none"/>
              </w:rPr>
              <w:t xml:space="preserve">2、拟派的秩序维护队长：男性，40周岁（含）以下，本科及以上学历的得1分，为退伍军人的得1分，</w:t>
            </w:r>
            <w:r>
              <w:rPr>
                <w:rFonts w:hint="eastAsia" w:ascii="宋体" w:hAnsi="宋体" w:cs="Calibri"/>
                <w:color w:val="auto"/>
                <w:sz w:val="21"/>
                <w:szCs w:val="21"/>
                <w:highlight w:val="none"/>
              </w:rPr>
              <w:t xml:space="preserve">具有</w:t>
            </w:r>
            <w:r>
              <w:rPr>
                <w:rFonts w:hint="eastAsia" w:ascii="宋体" w:hAnsi="宋体" w:cs="Calibri"/>
                <w:color w:val="auto"/>
                <w:sz w:val="21"/>
                <w:szCs w:val="21"/>
                <w:highlight w:val="none"/>
                <w:lang w:eastAsia="zh-CN"/>
              </w:rPr>
              <w:t xml:space="preserve">政府有关</w:t>
            </w:r>
            <w:r>
              <w:rPr>
                <w:rFonts w:hint="eastAsia" w:ascii="宋体" w:hAnsi="宋体" w:cs="Calibri"/>
                <w:color w:val="auto"/>
                <w:sz w:val="21"/>
                <w:szCs w:val="21"/>
                <w:highlight w:val="none"/>
                <w:lang w:eastAsia="zh-CN"/>
              </w:rPr>
              <w:t xml:space="preserve">部门</w:t>
            </w:r>
            <w:r>
              <w:rPr>
                <w:rFonts w:hint="eastAsia" w:ascii="宋体" w:hAnsi="宋体" w:cs="Calibri"/>
                <w:color w:val="auto"/>
                <w:sz w:val="21"/>
                <w:szCs w:val="21"/>
                <w:highlight w:val="none"/>
              </w:rPr>
              <w:t xml:space="preserve">颁发的</w:t>
            </w:r>
            <w:r>
              <w:rPr>
                <w:rFonts w:hint="eastAsia" w:ascii="宋体" w:hAnsi="宋体" w:cs="仿宋"/>
                <w:color w:val="auto"/>
                <w:sz w:val="21"/>
                <w:szCs w:val="21"/>
                <w:highlight w:val="none"/>
              </w:rPr>
              <w:t xml:space="preserve">四级及以上建（构）筑物消防员证书或</w:t>
            </w:r>
            <w:r>
              <w:rPr>
                <w:rFonts w:hint="eastAsia" w:ascii="宋体" w:hAnsi="宋体" w:cs="宋体"/>
                <w:color w:val="auto"/>
                <w:szCs w:val="21"/>
                <w:highlight w:val="none"/>
              </w:rPr>
              <w:t xml:space="preserve">四级及以上</w:t>
            </w:r>
            <w:r>
              <w:rPr>
                <w:rFonts w:hint="eastAsia" w:ascii="宋体" w:hAnsi="宋体" w:cs="仿宋"/>
                <w:color w:val="auto"/>
                <w:sz w:val="21"/>
                <w:szCs w:val="21"/>
                <w:highlight w:val="none"/>
              </w:rPr>
              <w:t xml:space="preserve">消防设施操作员证的</w:t>
            </w:r>
            <w:r>
              <w:rPr>
                <w:rFonts w:hint="eastAsia" w:ascii="宋体" w:hAnsi="宋体" w:cs="仿宋_GB2312"/>
                <w:color w:val="auto"/>
                <w:sz w:val="21"/>
                <w:szCs w:val="21"/>
                <w:highlight w:val="none"/>
              </w:rPr>
              <w:t xml:space="preserve">得1分，</w:t>
            </w:r>
            <w:r>
              <w:rPr>
                <w:rFonts w:hint="eastAsia" w:ascii="宋体" w:hAnsi="宋体" w:cs="仿宋"/>
                <w:color w:val="auto"/>
                <w:sz w:val="21"/>
                <w:szCs w:val="21"/>
                <w:highlight w:val="none"/>
              </w:rPr>
              <w:t xml:space="preserve">满分3分。</w:t>
            </w:r>
            <w:r>
              <w:rPr>
                <w:rFonts w:hint="eastAsia" w:ascii="宋体" w:hAnsi="宋体" w:cs="宋体"/>
                <w:b/>
                <w:bCs/>
                <w:color w:val="auto"/>
                <w:sz w:val="21"/>
                <w:szCs w:val="21"/>
                <w:highlight w:val="none"/>
              </w:rPr>
              <w:t xml:space="preserve">【提供身份证正反面、学历证书及学信网查询截图、退伍军人证书、</w:t>
            </w:r>
            <w:r>
              <w:rPr>
                <w:rFonts w:hint="eastAsia" w:ascii="宋体" w:hAnsi="宋体" w:cs="Calibri"/>
                <w:b/>
                <w:bCs/>
                <w:color w:val="auto"/>
                <w:sz w:val="21"/>
                <w:szCs w:val="21"/>
                <w:highlight w:val="none"/>
                <w:lang w:eastAsia="zh-CN"/>
              </w:rPr>
              <w:t xml:space="preserve">政府有关</w:t>
            </w:r>
            <w:r>
              <w:rPr>
                <w:rFonts w:hint="eastAsia" w:ascii="宋体" w:hAnsi="宋体" w:cs="Calibri"/>
                <w:b/>
                <w:bCs/>
                <w:color w:val="auto"/>
                <w:sz w:val="21"/>
                <w:szCs w:val="21"/>
                <w:highlight w:val="none"/>
                <w:lang w:eastAsia="zh-CN"/>
              </w:rPr>
              <w:t xml:space="preserve">部门</w:t>
            </w:r>
            <w:r>
              <w:rPr>
                <w:rFonts w:hint="eastAsia" w:ascii="宋体" w:hAnsi="宋体" w:cs="Calibri"/>
                <w:b/>
                <w:bCs/>
                <w:color w:val="auto"/>
                <w:sz w:val="21"/>
                <w:szCs w:val="21"/>
                <w:highlight w:val="none"/>
              </w:rPr>
              <w:t xml:space="preserve">颁发的</w:t>
            </w:r>
            <w:r>
              <w:rPr>
                <w:rFonts w:hint="eastAsia" w:ascii="宋体" w:hAnsi="宋体" w:cs="宋体"/>
                <w:b/>
                <w:bCs/>
                <w:color w:val="auto"/>
                <w:sz w:val="21"/>
                <w:szCs w:val="21"/>
                <w:highlight w:val="none"/>
              </w:rPr>
              <w:t xml:space="preserve">四级及以上建（构）筑物消防员证书或</w:t>
            </w:r>
            <w:r>
              <w:rPr>
                <w:rFonts w:hint="eastAsia" w:ascii="宋体" w:hAnsi="宋体" w:cs="宋体"/>
                <w:b/>
                <w:bCs/>
                <w:color w:val="auto"/>
                <w:szCs w:val="21"/>
                <w:highlight w:val="none"/>
              </w:rPr>
              <w:t xml:space="preserve">四级及以上</w:t>
            </w:r>
            <w:r>
              <w:rPr>
                <w:rFonts w:hint="eastAsia" w:ascii="宋体" w:hAnsi="宋体" w:cs="宋体"/>
                <w:b/>
                <w:bCs/>
                <w:color w:val="auto"/>
                <w:sz w:val="21"/>
                <w:szCs w:val="21"/>
                <w:highlight w:val="none"/>
              </w:rPr>
              <w:t xml:space="preserve">消防设施操作员证，</w:t>
            </w:r>
            <w:r>
              <w:rPr>
                <w:rFonts w:hint="eastAsia" w:ascii="宋体" w:hAnsi="宋体" w:cs="Calibri"/>
                <w:b/>
                <w:bCs/>
                <w:color w:val="auto"/>
                <w:sz w:val="21"/>
                <w:szCs w:val="21"/>
                <w:highlight w:val="none"/>
              </w:rPr>
              <w:t xml:space="preserve">原件扫描上传</w:t>
            </w:r>
            <w:r>
              <w:rPr>
                <w:rFonts w:hint="eastAsia" w:ascii="宋体" w:hAnsi="宋体" w:cs="宋体"/>
                <w:b/>
                <w:bCs/>
                <w:color w:val="auto"/>
                <w:sz w:val="21"/>
                <w:szCs w:val="21"/>
                <w:highlight w:val="none"/>
              </w:rPr>
              <w:t xml:space="preserve">】</w:t>
            </w:r>
            <w:r/>
          </w:p>
          <w:p>
            <w:pPr>
              <w:jc w:val="left"/>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3、拟派的监控室值班人员：男女不限，45周岁（含）以下，同时具备</w:t>
            </w:r>
            <w:r>
              <w:rPr>
                <w:rFonts w:hint="eastAsia" w:ascii="宋体" w:hAnsi="宋体" w:cs="仿宋"/>
                <w:color w:val="auto"/>
                <w:sz w:val="21"/>
                <w:szCs w:val="21"/>
                <w:highlight w:val="none"/>
                <w:lang w:eastAsia="zh-CN"/>
              </w:rPr>
              <w:t xml:space="preserve">政府有关部门</w:t>
            </w:r>
            <w:r>
              <w:rPr>
                <w:rFonts w:hint="eastAsia" w:ascii="宋体" w:hAnsi="宋体" w:cs="仿宋"/>
                <w:color w:val="auto"/>
                <w:sz w:val="21"/>
                <w:szCs w:val="21"/>
                <w:highlight w:val="none"/>
              </w:rPr>
              <w:t xml:space="preserve">颁发的保安员证和四级及以上建（构）筑物消防员证书或</w:t>
            </w:r>
            <w:r>
              <w:rPr>
                <w:rFonts w:hint="eastAsia" w:ascii="宋体" w:hAnsi="宋体" w:cs="宋体"/>
                <w:color w:val="auto"/>
                <w:szCs w:val="21"/>
                <w:highlight w:val="none"/>
              </w:rPr>
              <w:t xml:space="preserve">四级及以上</w:t>
            </w:r>
            <w:r>
              <w:rPr>
                <w:rFonts w:hint="eastAsia" w:ascii="宋体" w:hAnsi="宋体" w:cs="仿宋"/>
                <w:color w:val="auto"/>
                <w:sz w:val="21"/>
                <w:szCs w:val="21"/>
                <w:highlight w:val="none"/>
              </w:rPr>
              <w:t xml:space="preserve">消防设施操作员证，每有一人得1分，满分5分</w:t>
            </w:r>
            <w:r>
              <w:rPr>
                <w:rFonts w:hint="eastAsia" w:ascii="宋体" w:hAnsi="宋体" w:cs="宋体"/>
                <w:b/>
                <w:bCs/>
                <w:color w:val="auto"/>
                <w:sz w:val="21"/>
                <w:szCs w:val="21"/>
                <w:highlight w:val="none"/>
              </w:rPr>
              <w:t xml:space="preserve">【</w:t>
            </w:r>
            <w:r>
              <w:rPr>
                <w:rFonts w:hint="eastAsia" w:ascii="宋体" w:hAnsi="宋体" w:cs="仿宋"/>
                <w:b/>
                <w:color w:val="auto"/>
                <w:sz w:val="21"/>
                <w:szCs w:val="21"/>
                <w:highlight w:val="none"/>
              </w:rPr>
              <w:t xml:space="preserve">提供身份证</w:t>
            </w:r>
            <w:r>
              <w:rPr>
                <w:rFonts w:hint="eastAsia" w:ascii="宋体" w:hAnsi="宋体" w:cs="宋体"/>
                <w:b/>
                <w:bCs/>
                <w:color w:val="auto"/>
                <w:sz w:val="21"/>
                <w:szCs w:val="21"/>
                <w:highlight w:val="none"/>
              </w:rPr>
              <w:t xml:space="preserve">正反面</w:t>
            </w:r>
            <w:r>
              <w:rPr>
                <w:rFonts w:hint="eastAsia" w:ascii="宋体" w:hAnsi="宋体" w:cs="仿宋"/>
                <w:b/>
                <w:color w:val="auto"/>
                <w:sz w:val="21"/>
                <w:szCs w:val="21"/>
                <w:highlight w:val="none"/>
              </w:rPr>
              <w:t xml:space="preserve">、</w:t>
            </w:r>
            <w:r>
              <w:rPr>
                <w:rFonts w:hint="eastAsia" w:ascii="宋体" w:hAnsi="宋体" w:cs="仿宋"/>
                <w:b/>
                <w:color w:val="auto"/>
                <w:sz w:val="21"/>
                <w:szCs w:val="21"/>
                <w:highlight w:val="none"/>
                <w:lang w:eastAsia="zh-CN"/>
              </w:rPr>
              <w:t xml:space="preserve">政府有关部门</w:t>
            </w:r>
            <w:r>
              <w:rPr>
                <w:rFonts w:hint="eastAsia" w:ascii="宋体" w:hAnsi="宋体" w:cs="仿宋"/>
                <w:b/>
                <w:color w:val="auto"/>
                <w:sz w:val="21"/>
                <w:szCs w:val="21"/>
                <w:highlight w:val="none"/>
              </w:rPr>
              <w:t xml:space="preserve">颁发的保安员证书和四级及以上建（构）筑物消防员证书或</w:t>
            </w:r>
            <w:r>
              <w:rPr>
                <w:rFonts w:hint="eastAsia" w:ascii="宋体" w:hAnsi="宋体" w:cs="宋体"/>
                <w:b/>
                <w:bCs/>
                <w:color w:val="auto"/>
                <w:szCs w:val="21"/>
                <w:highlight w:val="none"/>
              </w:rPr>
              <w:t xml:space="preserve">四级及以上</w:t>
            </w:r>
            <w:r>
              <w:rPr>
                <w:rFonts w:hint="eastAsia" w:ascii="宋体" w:hAnsi="宋体" w:cs="仿宋"/>
                <w:b/>
                <w:color w:val="auto"/>
                <w:sz w:val="21"/>
                <w:szCs w:val="21"/>
                <w:highlight w:val="none"/>
              </w:rPr>
              <w:t xml:space="preserve">消防设施操作员证，原件扫描上传</w:t>
            </w:r>
            <w:r>
              <w:rPr>
                <w:rFonts w:hint="eastAsia" w:ascii="宋体" w:hAnsi="宋体" w:cs="宋体"/>
                <w:b/>
                <w:bCs/>
                <w:color w:val="auto"/>
                <w:sz w:val="21"/>
                <w:szCs w:val="21"/>
                <w:highlight w:val="none"/>
              </w:rPr>
              <w:t xml:space="preserve">】</w:t>
            </w:r>
            <w:r>
              <w:rPr>
                <w:rFonts w:hint="eastAsia" w:ascii="宋体" w:hAnsi="宋体" w:cs="仿宋"/>
                <w:color w:val="auto"/>
                <w:sz w:val="21"/>
                <w:szCs w:val="21"/>
                <w:highlight w:val="none"/>
              </w:rPr>
              <w:t xml:space="preserve">。</w:t>
            </w:r>
            <w:r/>
          </w:p>
          <w:p>
            <w:pPr>
              <w:jc w:val="left"/>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4、拟派的会务主管：女性，35周岁（含）以下，全日制本科及以上学历的得1分，具有普通话二级乙等及以上等级证书的得1分，具有教育部颁发的大学英语四级考试及以上等级成绩报告单的得1分。满分3分。</w:t>
            </w:r>
            <w:r>
              <w:rPr>
                <w:rFonts w:hint="eastAsia" w:ascii="宋体" w:hAnsi="宋体" w:cs="宋体"/>
                <w:b/>
                <w:bCs/>
                <w:color w:val="auto"/>
                <w:sz w:val="21"/>
                <w:szCs w:val="21"/>
                <w:highlight w:val="none"/>
              </w:rPr>
              <w:t xml:space="preserve">【提供身份证正反面、学历证书及学信网查询截图、普通话二级乙等及以上等级证书、</w:t>
            </w:r>
            <w:r>
              <w:rPr>
                <w:rFonts w:hint="eastAsia" w:ascii="宋体" w:hAnsi="宋体" w:cs="仿宋"/>
                <w:b/>
                <w:color w:val="auto"/>
                <w:sz w:val="21"/>
                <w:szCs w:val="21"/>
                <w:highlight w:val="none"/>
              </w:rPr>
              <w:t xml:space="preserve">教育部颁发的大学英语四级考试及以上等级成绩报告单</w:t>
            </w:r>
            <w:r>
              <w:rPr>
                <w:rFonts w:hint="eastAsia" w:ascii="宋体" w:hAnsi="宋体" w:cs="仿宋"/>
                <w:b/>
                <w:bCs/>
                <w:color w:val="auto"/>
                <w:sz w:val="21"/>
                <w:szCs w:val="21"/>
                <w:highlight w:val="none"/>
              </w:rPr>
              <w:t xml:space="preserve">，</w:t>
            </w:r>
            <w:r>
              <w:rPr>
                <w:rFonts w:hint="eastAsia" w:ascii="宋体" w:hAnsi="宋体" w:cs="Calibri"/>
                <w:b/>
                <w:bCs/>
                <w:color w:val="auto"/>
                <w:sz w:val="21"/>
                <w:szCs w:val="21"/>
                <w:highlight w:val="none"/>
              </w:rPr>
              <w:t xml:space="preserve">原件扫描上传</w:t>
            </w:r>
            <w:r>
              <w:rPr>
                <w:rFonts w:hint="eastAsia" w:ascii="宋体" w:hAnsi="宋体" w:cs="宋体"/>
                <w:b/>
                <w:bCs/>
                <w:color w:val="auto"/>
                <w:sz w:val="21"/>
                <w:szCs w:val="21"/>
                <w:highlight w:val="none"/>
              </w:rPr>
              <w:t xml:space="preserve">】</w:t>
            </w:r>
            <w:r/>
          </w:p>
          <w:p>
            <w:pPr>
              <w:jc w:val="left"/>
              <w:spacing w:line="360" w:lineRule="auto"/>
              <w:rPr>
                <w:rFonts w:ascii="宋体" w:hAnsi="宋体" w:cs="仿宋"/>
                <w:b/>
                <w:bCs/>
                <w:color w:val="auto"/>
                <w:sz w:val="21"/>
                <w:szCs w:val="21"/>
                <w:highlight w:val="none"/>
              </w:rPr>
            </w:pPr>
            <w:r>
              <w:rPr>
                <w:rFonts w:hint="eastAsia" w:ascii="宋体" w:hAnsi="宋体" w:cs="仿宋"/>
                <w:color w:val="auto"/>
                <w:sz w:val="21"/>
                <w:szCs w:val="21"/>
                <w:highlight w:val="none"/>
              </w:rPr>
              <w:t xml:space="preserve">5、拟派的会务接待人员：女性，35周岁（含）以下，同时具有本科及以上学历和普通话二级乙等及以上等级证书，每有一人得1分，满分3分。</w:t>
            </w:r>
            <w:r>
              <w:rPr>
                <w:rFonts w:hint="eastAsia" w:ascii="宋体" w:hAnsi="宋体" w:cs="宋体"/>
                <w:b/>
                <w:bCs/>
                <w:color w:val="auto"/>
                <w:sz w:val="21"/>
                <w:szCs w:val="21"/>
                <w:highlight w:val="none"/>
              </w:rPr>
              <w:t xml:space="preserve">【提供身份证正反面、学历证书及学信网查询截图、</w:t>
            </w:r>
            <w:r>
              <w:rPr>
                <w:rFonts w:hint="eastAsia" w:ascii="宋体" w:hAnsi="宋体" w:cs="仿宋"/>
                <w:b/>
                <w:bCs/>
                <w:color w:val="auto"/>
                <w:sz w:val="21"/>
                <w:szCs w:val="21"/>
                <w:highlight w:val="none"/>
              </w:rPr>
              <w:t xml:space="preserve">普通话二级乙等及以上等级证书，</w:t>
            </w:r>
            <w:r>
              <w:rPr>
                <w:rFonts w:hint="eastAsia" w:ascii="宋体" w:hAnsi="宋体" w:cs="Calibri"/>
                <w:b/>
                <w:bCs/>
                <w:color w:val="auto"/>
                <w:sz w:val="21"/>
                <w:szCs w:val="21"/>
                <w:highlight w:val="none"/>
              </w:rPr>
              <w:t xml:space="preserve">原件扫描上传</w:t>
            </w:r>
            <w:r>
              <w:rPr>
                <w:rFonts w:hint="eastAsia" w:ascii="宋体" w:hAnsi="宋体" w:cs="宋体"/>
                <w:b/>
                <w:bCs/>
                <w:color w:val="auto"/>
                <w:sz w:val="21"/>
                <w:szCs w:val="21"/>
                <w:highlight w:val="none"/>
              </w:rPr>
              <w:t xml:space="preserve">】</w:t>
            </w:r>
            <w:r/>
          </w:p>
          <w:p>
            <w:pPr>
              <w:jc w:val="left"/>
              <w:spacing w:line="360" w:lineRule="auto"/>
              <w:rPr>
                <w:rFonts w:ascii="宋体" w:hAnsi="宋体" w:cs="仿宋"/>
                <w:b/>
                <w:bCs/>
                <w:color w:val="auto"/>
                <w:sz w:val="21"/>
                <w:szCs w:val="21"/>
                <w:highlight w:val="none"/>
              </w:rPr>
            </w:pPr>
            <w:r>
              <w:rPr>
                <w:rFonts w:hint="eastAsia" w:ascii="宋体" w:hAnsi="宋体" w:cs="仿宋"/>
                <w:color w:val="auto"/>
                <w:sz w:val="21"/>
                <w:szCs w:val="21"/>
                <w:highlight w:val="none"/>
              </w:rPr>
              <w:t xml:space="preserve">6、拟派的</w:t>
            </w:r>
            <w:r>
              <w:rPr>
                <w:rFonts w:hint="eastAsia" w:ascii="宋体" w:hAnsi="宋体"/>
                <w:color w:val="auto"/>
                <w:sz w:val="21"/>
                <w:szCs w:val="21"/>
                <w:highlight w:val="none"/>
              </w:rPr>
              <w:t xml:space="preserve">设备设施运营保障人员</w:t>
            </w:r>
            <w:r>
              <w:rPr>
                <w:rFonts w:hint="eastAsia" w:ascii="宋体" w:hAnsi="宋体" w:cs="仿宋"/>
                <w:color w:val="auto"/>
                <w:sz w:val="21"/>
                <w:szCs w:val="21"/>
                <w:highlight w:val="none"/>
              </w:rPr>
              <w:t xml:space="preserve">50周岁及以下，具</w:t>
            </w:r>
            <w:r>
              <w:rPr>
                <w:rFonts w:hint="eastAsia" w:ascii="宋体" w:hAnsi="宋体"/>
                <w:color w:val="auto"/>
                <w:sz w:val="21"/>
                <w:szCs w:val="21"/>
                <w:highlight w:val="none"/>
              </w:rPr>
              <w:t xml:space="preserve">有特种设备安全管理和作业人员证书（代码A）的</w:t>
            </w:r>
            <w:r>
              <w:rPr>
                <w:rFonts w:hint="eastAsia" w:ascii="宋体" w:hAnsi="宋体" w:cs="Calibri"/>
                <w:color w:val="auto"/>
                <w:sz w:val="21"/>
                <w:szCs w:val="21"/>
                <w:highlight w:val="none"/>
              </w:rPr>
              <w:t xml:space="preserve">得1分，</w:t>
            </w:r>
            <w:r>
              <w:rPr>
                <w:rFonts w:hint="eastAsia" w:ascii="宋体" w:hAnsi="宋体" w:cs="仿宋"/>
                <w:color w:val="auto"/>
                <w:sz w:val="21"/>
                <w:szCs w:val="21"/>
                <w:highlight w:val="none"/>
              </w:rPr>
              <w:t xml:space="preserve">具有</w:t>
            </w:r>
            <w:r>
              <w:rPr>
                <w:rFonts w:hint="eastAsia" w:ascii="宋体" w:hAnsi="宋体" w:cs="仿宋"/>
                <w:color w:val="auto"/>
                <w:sz w:val="21"/>
                <w:szCs w:val="21"/>
                <w:highlight w:val="none"/>
              </w:rPr>
              <w:t xml:space="preserve">电工证</w:t>
            </w:r>
            <w:r>
              <w:rPr>
                <w:rFonts w:hint="eastAsia" w:ascii="宋体" w:hAnsi="宋体" w:cs="Calibri"/>
                <w:color w:val="auto"/>
                <w:sz w:val="21"/>
                <w:szCs w:val="21"/>
                <w:highlight w:val="none"/>
              </w:rPr>
              <w:t xml:space="preserve">得1分</w:t>
            </w:r>
            <w:r>
              <w:rPr>
                <w:rFonts w:hint="eastAsia" w:ascii="宋体" w:hAnsi="宋体" w:cs="仿宋"/>
                <w:color w:val="auto"/>
                <w:sz w:val="21"/>
                <w:szCs w:val="21"/>
                <w:highlight w:val="none"/>
              </w:rPr>
              <w:t xml:space="preserve">，具有</w:t>
            </w:r>
            <w:r>
              <w:rPr>
                <w:rFonts w:hint="eastAsia" w:ascii="宋体" w:hAnsi="宋体" w:cs="Calibri"/>
                <w:color w:val="auto"/>
                <w:sz w:val="21"/>
                <w:szCs w:val="21"/>
                <w:highlight w:val="none"/>
              </w:rPr>
              <w:t xml:space="preserve">机电、建筑、暖通或其他工程类</w:t>
            </w:r>
            <w:r>
              <w:rPr>
                <w:rFonts w:hint="eastAsia" w:ascii="宋体" w:hAnsi="宋体" w:cs="仿宋"/>
                <w:color w:val="auto"/>
                <w:sz w:val="21"/>
                <w:szCs w:val="21"/>
                <w:highlight w:val="none"/>
              </w:rPr>
              <w:t xml:space="preserve">中级</w:t>
            </w:r>
            <w:r>
              <w:rPr>
                <w:rFonts w:hint="eastAsia" w:ascii="宋体" w:hAnsi="宋体" w:cs="宋体"/>
                <w:color w:val="auto"/>
                <w:sz w:val="21"/>
                <w:szCs w:val="21"/>
                <w:highlight w:val="none"/>
              </w:rPr>
              <w:t xml:space="preserve">及以上职称</w:t>
            </w:r>
            <w:r>
              <w:rPr>
                <w:rFonts w:hint="eastAsia" w:ascii="宋体" w:hAnsi="宋体" w:cs="仿宋"/>
                <w:color w:val="auto"/>
                <w:sz w:val="21"/>
                <w:szCs w:val="21"/>
                <w:highlight w:val="none"/>
              </w:rPr>
              <w:t xml:space="preserve">证书的</w:t>
            </w:r>
            <w:r>
              <w:rPr>
                <w:rFonts w:hint="eastAsia" w:ascii="宋体" w:hAnsi="宋体" w:cs="Calibri"/>
                <w:color w:val="auto"/>
                <w:sz w:val="21"/>
                <w:szCs w:val="21"/>
                <w:highlight w:val="none"/>
              </w:rPr>
              <w:t xml:space="preserve">得1分</w:t>
            </w:r>
            <w:r>
              <w:rPr>
                <w:rFonts w:hint="eastAsia" w:ascii="宋体" w:hAnsi="宋体" w:cs="仿宋"/>
                <w:color w:val="auto"/>
                <w:sz w:val="21"/>
                <w:szCs w:val="21"/>
                <w:highlight w:val="none"/>
              </w:rPr>
              <w:t xml:space="preserve">，满分3分。</w:t>
            </w:r>
            <w:r>
              <w:rPr>
                <w:rFonts w:hint="eastAsia" w:ascii="宋体" w:hAnsi="宋体" w:cs="宋体"/>
                <w:b/>
                <w:bCs/>
                <w:color w:val="auto"/>
                <w:sz w:val="21"/>
                <w:szCs w:val="21"/>
                <w:highlight w:val="none"/>
              </w:rPr>
              <w:t xml:space="preserve">【提供</w:t>
            </w:r>
            <w:r>
              <w:rPr>
                <w:rFonts w:hint="eastAsia" w:ascii="宋体" w:hAnsi="宋体"/>
                <w:b/>
                <w:bCs/>
                <w:color w:val="auto"/>
                <w:sz w:val="21"/>
                <w:szCs w:val="21"/>
                <w:highlight w:val="none"/>
              </w:rPr>
              <w:t xml:space="preserve">特种设备安全管理和作业人员证书</w:t>
            </w:r>
            <w:r>
              <w:rPr>
                <w:rFonts w:hint="eastAsia" w:ascii="宋体" w:hAnsi="宋体" w:cs="宋体"/>
                <w:b/>
                <w:bCs/>
                <w:color w:val="auto"/>
                <w:sz w:val="21"/>
                <w:szCs w:val="21"/>
                <w:highlight w:val="none"/>
              </w:rPr>
              <w:t xml:space="preserve">、</w:t>
            </w:r>
            <w:r>
              <w:rPr>
                <w:rFonts w:hint="eastAsia" w:ascii="宋体" w:hAnsi="宋体" w:cs="仿宋"/>
                <w:b/>
                <w:bCs/>
                <w:color w:val="auto"/>
                <w:sz w:val="21"/>
                <w:szCs w:val="21"/>
                <w:highlight w:val="none"/>
              </w:rPr>
              <w:t xml:space="preserve">电工证、职称证书，</w:t>
            </w:r>
            <w:r>
              <w:rPr>
                <w:rFonts w:hint="eastAsia" w:ascii="宋体" w:hAnsi="宋体" w:cs="Calibri"/>
                <w:b/>
                <w:bCs/>
                <w:color w:val="auto"/>
                <w:sz w:val="21"/>
                <w:szCs w:val="21"/>
                <w:highlight w:val="none"/>
              </w:rPr>
              <w:t xml:space="preserve">原件扫描上传</w:t>
            </w:r>
            <w:r>
              <w:rPr>
                <w:rFonts w:hint="eastAsia" w:ascii="宋体" w:hAnsi="宋体" w:cs="宋体"/>
                <w:b/>
                <w:bCs/>
                <w:color w:val="auto"/>
                <w:sz w:val="21"/>
                <w:szCs w:val="21"/>
                <w:highlight w:val="none"/>
              </w:rPr>
              <w:t xml:space="preserve">】</w:t>
            </w:r>
            <w:r/>
          </w:p>
          <w:p>
            <w:pPr>
              <w:jc w:val="left"/>
              <w:spacing w:line="360" w:lineRule="auto"/>
              <w:rPr>
                <w:rFonts w:ascii="宋体" w:hAnsi="宋体" w:cs="仿宋"/>
                <w:b/>
                <w:bCs/>
                <w:color w:val="auto"/>
                <w:sz w:val="21"/>
                <w:szCs w:val="21"/>
                <w:highlight w:val="none"/>
              </w:rPr>
            </w:pPr>
            <w:r>
              <w:rPr>
                <w:rFonts w:hint="eastAsia" w:ascii="宋体" w:hAnsi="宋体" w:cs="仿宋"/>
                <w:color w:val="auto"/>
                <w:sz w:val="21"/>
                <w:szCs w:val="21"/>
                <w:highlight w:val="none"/>
              </w:rPr>
              <w:t xml:space="preserve">7、拟派的食堂厨师：男女不限，年龄在45周岁（含）以下，具有中式烹调师证书，每有一人得1分，满分2分，具有中式面点师证书，每有一人得1分，满分1分，此项满分3分</w:t>
            </w:r>
            <w:r>
              <w:rPr>
                <w:rFonts w:hint="eastAsia" w:ascii="宋体" w:hAnsi="宋体" w:cs="仿宋"/>
                <w:b/>
                <w:bCs/>
                <w:color w:val="auto"/>
                <w:sz w:val="21"/>
                <w:szCs w:val="21"/>
                <w:highlight w:val="none"/>
              </w:rPr>
              <w:t xml:space="preserve">【提供身份证正反面、中式烹调师证书、中式面点师证书，原件扫描上传】</w:t>
            </w:r>
            <w:r/>
          </w:p>
          <w:p>
            <w:pPr>
              <w:jc w:val="left"/>
              <w:spacing w:line="360" w:lineRule="auto"/>
              <w:rPr>
                <w:rFonts w:hint="eastAsia" w:ascii="Times New Roman" w:hAnsi="Times New Roman" w:eastAsia="宋体" w:cs="宋体"/>
                <w:b w:val="0"/>
                <w:bCs w:val="0"/>
                <w:color w:val="auto"/>
                <w:sz w:val="21"/>
                <w:szCs w:val="21"/>
                <w:highlight w:val="none"/>
              </w:rPr>
            </w:pPr>
            <w:r>
              <w:rPr>
                <w:rFonts w:hint="eastAsia" w:ascii="宋体" w:hAnsi="宋体" w:cs="仿宋"/>
                <w:b/>
                <w:bCs/>
                <w:color w:val="auto"/>
                <w:sz w:val="21"/>
                <w:szCs w:val="21"/>
                <w:highlight w:val="none"/>
              </w:rPr>
              <w:t xml:space="preserve">注：以上所有人员均需提供投标人近三个月内任意一个月为其缴纳的带二维码核验的社保缴纳证明</w:t>
            </w:r>
            <w:r>
              <w:rPr>
                <w:rFonts w:hint="eastAsia" w:ascii="宋体" w:hAnsi="宋体" w:cs="宋体"/>
                <w:b/>
                <w:bCs/>
                <w:iCs/>
                <w:color w:val="auto"/>
                <w:sz w:val="21"/>
                <w:szCs w:val="21"/>
                <w:highlight w:val="none"/>
                <w:shd w:val="clear" w:color="auto" w:fill="ffffff"/>
              </w:rPr>
              <w:t xml:space="preserve">，原件扫描上传</w:t>
            </w:r>
            <w:r>
              <w:rPr>
                <w:rFonts w:hint="eastAsia" w:ascii="宋体" w:hAnsi="宋体" w:cs="仿宋"/>
                <w:b/>
                <w:bCs/>
                <w:color w:val="auto"/>
                <w:sz w:val="21"/>
                <w:szCs w:val="21"/>
                <w:highlight w:val="none"/>
              </w:rPr>
              <w:t xml:space="preserve">。</w:t>
            </w:r>
            <w:r/>
          </w:p>
        </w:tc>
      </w:tr>
      <w:tr>
        <w:trPr>
          <w:jc w:val="center"/>
          <w:trHeight w:val="2799"/>
        </w:trPr>
        <w:tc>
          <w:tcPr>
            <w:tcW w:w="1122"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管理方案（</w:t>
            </w:r>
            <w:r>
              <w:rPr>
                <w:rFonts w:hint="eastAsia" w:ascii="Times New Roman" w:hAnsi="Times New Roman" w:cs="宋体"/>
                <w:color w:val="auto"/>
                <w:sz w:val="21"/>
                <w:szCs w:val="21"/>
                <w:highlight w:val="none"/>
                <w:lang w:val="en-US" w:eastAsia="zh-CN"/>
              </w:rPr>
              <w:t xml:space="preserve">54</w:t>
            </w:r>
            <w:r>
              <w:rPr>
                <w:rFonts w:hint="eastAsia" w:ascii="Times New Roman" w:hAnsi="Times New Roman" w:eastAsia="宋体" w:cs="宋体"/>
                <w:color w:val="auto"/>
                <w:sz w:val="21"/>
                <w:szCs w:val="21"/>
                <w:highlight w:val="none"/>
              </w:rPr>
              <w:t xml:space="preserve">分）</w:t>
            </w:r>
            <w:r/>
          </w:p>
        </w:tc>
        <w:tc>
          <w:tcPr>
            <w:tcW w:w="7809" w:type="dxa"/>
            <w:vAlign w:val="center"/>
            <w:textDirection w:val="lrTb"/>
            <w:noWrap w:val="false"/>
          </w:tcPr>
          <w:p>
            <w:pPr>
              <w:numPr>
                <w:ilvl w:val="0"/>
                <w:numId w:val="0"/>
              </w:numPr>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1、</w:t>
            </w:r>
            <w:r>
              <w:rPr>
                <w:rFonts w:hint="eastAsia" w:ascii="宋体" w:hAnsi="宋体" w:cs="仿宋"/>
                <w:color w:val="auto"/>
                <w:sz w:val="21"/>
                <w:szCs w:val="21"/>
                <w:highlight w:val="none"/>
              </w:rPr>
              <w:t xml:space="preserve">整体服务设想和总体目标</w:t>
            </w:r>
            <w:r>
              <w:rPr>
                <w:rFonts w:hint="eastAsia" w:ascii="宋体" w:hAnsi="宋体" w:cs="Calibri"/>
                <w:color w:val="auto"/>
                <w:sz w:val="21"/>
                <w:szCs w:val="21"/>
                <w:highlight w:val="none"/>
              </w:rPr>
              <w:t xml:space="preserve">（6分）：</w:t>
            </w:r>
            <w:r/>
          </w:p>
          <w:p>
            <w:pPr>
              <w:numPr>
                <w:ilvl w:val="0"/>
                <w:numId w:val="0"/>
              </w:num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对投标项目基本情况熟悉，了解招标人的服务需求，重点难点分析正确，针对重点难点的措施切实可行，方案满足招标文件要求，方案细致、合理且可行性强得6分；</w:t>
            </w:r>
            <w:r/>
          </w:p>
          <w:p>
            <w:pPr>
              <w:numPr>
                <w:ilvl w:val="0"/>
                <w:numId w:val="0"/>
              </w:num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方案基本合理全面，具有一定的可行性得4分；</w:t>
            </w:r>
            <w:r/>
          </w:p>
          <w:p>
            <w:pPr>
              <w:numPr>
                <w:ilvl w:val="0"/>
                <w:numId w:val="0"/>
              </w:num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方案简单有明显的不合理项、不可行项的得2分；</w:t>
            </w:r>
            <w:r/>
          </w:p>
          <w:p>
            <w:pPr>
              <w:numPr>
                <w:ilvl w:val="0"/>
                <w:numId w:val="0"/>
              </w:num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2、</w:t>
            </w:r>
            <w:r>
              <w:rPr>
                <w:rFonts w:hint="eastAsia" w:ascii="宋体" w:hAnsi="宋体" w:cs="Calibri"/>
                <w:color w:val="auto"/>
                <w:sz w:val="21"/>
                <w:szCs w:val="21"/>
                <w:highlight w:val="none"/>
              </w:rPr>
              <w:t xml:space="preserve">组织架构，机构运作及制度管理（6分）：</w:t>
            </w:r>
            <w:r/>
          </w:p>
          <w:p>
            <w:pPr>
              <w:numPr>
                <w:ilvl w:val="0"/>
                <w:numId w:val="0"/>
              </w:numPr>
              <w:spacing w:line="360" w:lineRule="auto"/>
              <w:rPr>
                <w:rFonts w:hint="eastAsia" w:ascii="宋体" w:hAnsi="宋体" w:cs="仿宋"/>
                <w:color w:val="auto"/>
                <w:sz w:val="21"/>
                <w:szCs w:val="21"/>
                <w:highlight w:val="none"/>
              </w:rPr>
            </w:pPr>
            <w:r>
              <w:rPr>
                <w:rFonts w:hint="eastAsia" w:ascii="宋体" w:hAnsi="宋体" w:cs="Calibri"/>
                <w:color w:val="auto"/>
                <w:sz w:val="21"/>
                <w:szCs w:val="21"/>
                <w:highlight w:val="none"/>
              </w:rPr>
              <w:t xml:space="preserve">包括监督机制、信息反馈处理机制、录用与考核淘汰机制等方案，科学、严密、合理，描述详细且具有针对性，</w:t>
            </w:r>
            <w:r>
              <w:rPr>
                <w:rFonts w:hint="eastAsia" w:ascii="宋体" w:hAnsi="宋体" w:cs="仿宋"/>
                <w:color w:val="auto"/>
                <w:sz w:val="21"/>
                <w:szCs w:val="21"/>
                <w:highlight w:val="none"/>
              </w:rPr>
              <w:t xml:space="preserve">方案满足招标文件要求，方案细致、合理且可行性强得6分；</w:t>
            </w:r>
            <w:r/>
          </w:p>
          <w:p>
            <w:pPr>
              <w:numPr>
                <w:ilvl w:val="0"/>
                <w:numId w:val="0"/>
              </w:num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方案基本合理全面，具有一定的可行性得4分；</w:t>
            </w:r>
            <w:r/>
          </w:p>
          <w:p>
            <w:pPr>
              <w:numPr>
                <w:ilvl w:val="0"/>
                <w:numId w:val="0"/>
              </w:numP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方案简单有明显的不合理项、不可行项的得2分；</w:t>
            </w:r>
            <w:r/>
          </w:p>
          <w:p>
            <w:pPr>
              <w:numPr>
                <w:ilvl w:val="0"/>
                <w:numId w:val="0"/>
              </w:num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3、</w:t>
            </w:r>
            <w:r>
              <w:rPr>
                <w:rFonts w:hint="eastAsia" w:ascii="宋体" w:hAnsi="宋体" w:cs="Calibri"/>
                <w:color w:val="auto"/>
                <w:sz w:val="21"/>
                <w:szCs w:val="21"/>
                <w:highlight w:val="none"/>
              </w:rPr>
              <w:t xml:space="preserve">秩序维护管理服务方案（6分）：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根据招标文件提出的标准及要求制定的秩序维护管理具体措施等。内容满足招标文件要求，方案细致、合理且可行性强得6分；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ascii="宋体" w:hAnsi="宋体" w:cs="Calibri"/>
                <w:color w:val="auto"/>
                <w:sz w:val="21"/>
                <w:szCs w:val="21"/>
                <w:highlight w:val="none"/>
              </w:rPr>
            </w:pPr>
            <w:r>
              <w:rPr>
                <w:rFonts w:hint="eastAsia" w:ascii="宋体" w:hAnsi="宋体" w:cs="Calibri"/>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4、</w:t>
            </w:r>
            <w:r>
              <w:rPr>
                <w:rFonts w:hint="eastAsia" w:ascii="宋体" w:hAnsi="宋体" w:cs="Calibri"/>
                <w:color w:val="auto"/>
                <w:sz w:val="21"/>
                <w:szCs w:val="21"/>
                <w:highlight w:val="none"/>
                <w:lang w:val="en-US" w:eastAsia="zh-CN"/>
              </w:rPr>
              <w:t xml:space="preserve">安全监控</w:t>
            </w:r>
            <w:r>
              <w:rPr>
                <w:rFonts w:hint="eastAsia" w:ascii="宋体" w:hAnsi="宋体" w:cs="Calibri"/>
                <w:color w:val="auto"/>
                <w:sz w:val="21"/>
                <w:szCs w:val="21"/>
                <w:highlight w:val="none"/>
              </w:rPr>
              <w:t xml:space="preserve">服务方案（6分）：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根据招标文件提出的标准及要求制定</w:t>
            </w:r>
            <w:r>
              <w:rPr>
                <w:rFonts w:hint="eastAsia" w:ascii="宋体" w:hAnsi="宋体" w:cs="Calibri"/>
                <w:color w:val="auto"/>
                <w:sz w:val="21"/>
                <w:szCs w:val="21"/>
                <w:highlight w:val="none"/>
                <w:lang w:val="en-US" w:eastAsia="zh-CN"/>
              </w:rPr>
              <w:t xml:space="preserve">安全监控</w:t>
            </w:r>
            <w:r>
              <w:rPr>
                <w:rFonts w:hint="eastAsia" w:ascii="宋体" w:hAnsi="宋体" w:cs="Calibri"/>
                <w:color w:val="auto"/>
                <w:sz w:val="21"/>
                <w:szCs w:val="21"/>
                <w:highlight w:val="none"/>
              </w:rPr>
              <w:t xml:space="preserve">服务具体措施等。内容满足招标文件要求，方案细致、合理且可行性强得6分；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ascii="宋体" w:hAnsi="宋体" w:cs="Calibri"/>
                <w:color w:val="auto"/>
                <w:sz w:val="21"/>
                <w:szCs w:val="21"/>
                <w:highlight w:val="none"/>
              </w:rPr>
            </w:pPr>
            <w:r>
              <w:rPr>
                <w:rFonts w:hint="eastAsia" w:ascii="宋体" w:hAnsi="宋体" w:cs="Calibri"/>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5、</w:t>
            </w:r>
            <w:r>
              <w:rPr>
                <w:rFonts w:hint="eastAsia" w:ascii="宋体" w:hAnsi="宋体" w:cs="Calibri"/>
                <w:color w:val="auto"/>
                <w:sz w:val="21"/>
                <w:szCs w:val="21"/>
                <w:highlight w:val="none"/>
              </w:rPr>
              <w:t xml:space="preserve">会务接待服务方案（6分）：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根据招标文件提出的标准及要求制定会务接待服务具体措施等。内容满足招标文件要求，方案细致、合理且可行性强得6分；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ascii="宋体" w:hAnsi="宋体" w:cs="仿宋"/>
                <w:color w:val="auto"/>
                <w:sz w:val="21"/>
                <w:szCs w:val="21"/>
                <w:highlight w:val="none"/>
              </w:rPr>
            </w:pPr>
            <w:r>
              <w:rPr>
                <w:rFonts w:hint="eastAsia" w:ascii="宋体" w:hAnsi="宋体" w:cs="Calibri"/>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6、</w:t>
            </w:r>
            <w:r>
              <w:rPr>
                <w:rFonts w:hint="eastAsia" w:ascii="宋体" w:hAnsi="宋体" w:cs="Calibri"/>
                <w:color w:val="auto"/>
                <w:sz w:val="21"/>
                <w:szCs w:val="21"/>
                <w:highlight w:val="none"/>
              </w:rPr>
              <w:t xml:space="preserve">宿舍管理服务方案（6分）：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根据招标文件提出的标准及要求制定宿舍管理服务具体措施等。内容满足招标文件要求，方案细致、合理且可行性强得6分；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ascii="宋体" w:hAnsi="宋体" w:cs="Calibri"/>
                <w:color w:val="auto"/>
                <w:sz w:val="21"/>
                <w:szCs w:val="21"/>
                <w:highlight w:val="none"/>
              </w:rPr>
            </w:pPr>
            <w:r>
              <w:rPr>
                <w:rFonts w:hint="eastAsia" w:ascii="宋体" w:hAnsi="宋体" w:cs="Calibri"/>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7、</w:t>
            </w:r>
            <w:r>
              <w:rPr>
                <w:rFonts w:hint="eastAsia" w:ascii="宋体" w:hAnsi="宋体" w:cs="Calibri"/>
                <w:color w:val="auto"/>
                <w:sz w:val="21"/>
                <w:szCs w:val="21"/>
                <w:highlight w:val="none"/>
                <w:lang w:val="en-US" w:eastAsia="zh-CN" w:bidi="ar-SA"/>
              </w:rPr>
              <w:t xml:space="preserve">专业</w:t>
            </w:r>
            <w:r>
              <w:rPr>
                <w:rFonts w:hint="eastAsia" w:ascii="宋体" w:hAnsi="宋体" w:cs="Calibri"/>
                <w:color w:val="auto"/>
                <w:sz w:val="21"/>
                <w:szCs w:val="21"/>
                <w:highlight w:val="none"/>
              </w:rPr>
              <w:t xml:space="preserve">设备设施运营保障服务方案（6分）：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根据招标文件提出的标准及要求制定设备设施运营保障服务具体措施等。内容满足招标文件要求，方案细致、合理且可行性强得6分；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ascii="宋体" w:hAnsi="宋体" w:cs="Calibri"/>
                <w:color w:val="auto"/>
                <w:sz w:val="21"/>
                <w:szCs w:val="21"/>
                <w:highlight w:val="none"/>
              </w:rPr>
            </w:pPr>
            <w:r>
              <w:rPr>
                <w:rFonts w:hint="eastAsia" w:ascii="宋体" w:hAnsi="宋体" w:cs="Calibri"/>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8、</w:t>
            </w:r>
            <w:r>
              <w:rPr>
                <w:rFonts w:hint="eastAsia" w:ascii="宋体" w:hAnsi="宋体" w:cs="Calibri"/>
                <w:color w:val="auto"/>
                <w:sz w:val="21"/>
                <w:szCs w:val="21"/>
                <w:highlight w:val="none"/>
              </w:rPr>
              <w:t xml:space="preserve">食堂服务方案（6分）：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根据招标文件提出的标准及要求制定食堂服务具体措施等。内容满足招标文件要求，方案细致、合理且可行性强得6分；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ascii="宋体" w:hAnsi="宋体" w:cs="Calibri"/>
                <w:color w:val="auto"/>
                <w:sz w:val="21"/>
                <w:szCs w:val="21"/>
                <w:highlight w:val="none"/>
              </w:rPr>
            </w:pPr>
            <w:r>
              <w:rPr>
                <w:rFonts w:hint="eastAsia" w:ascii="宋体" w:hAnsi="宋体" w:cs="Calibri"/>
                <w:color w:val="auto"/>
                <w:sz w:val="21"/>
                <w:szCs w:val="21"/>
                <w:highlight w:val="none"/>
              </w:rPr>
              <w:t xml:space="preserve">其余不得分。</w:t>
            </w:r>
            <w:r/>
          </w:p>
          <w:p>
            <w:pPr>
              <w:numPr>
                <w:ilvl w:val="0"/>
                <w:numId w:val="0"/>
              </w:numPr>
              <w:ind w:left="0" w:firstLine="0"/>
              <w:spacing w:line="360" w:lineRule="auto"/>
              <w:rPr>
                <w:rFonts w:hint="eastAsia" w:ascii="宋体" w:hAnsi="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9、</w:t>
            </w:r>
            <w:r>
              <w:rPr>
                <w:rFonts w:hint="eastAsia" w:ascii="宋体" w:hAnsi="宋体" w:cs="Calibri"/>
                <w:color w:val="auto"/>
                <w:sz w:val="21"/>
                <w:szCs w:val="21"/>
                <w:highlight w:val="none"/>
              </w:rPr>
              <w:t xml:space="preserve">突发事件应急预案（6分）：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仿宋"/>
                <w:color w:val="auto"/>
                <w:sz w:val="21"/>
                <w:szCs w:val="21"/>
                <w:highlight w:val="none"/>
              </w:rPr>
              <w:t xml:space="preserve">包括但不限于</w:t>
            </w:r>
            <w:r>
              <w:rPr>
                <w:rFonts w:hint="eastAsia" w:ascii="宋体" w:hAnsi="宋体" w:cs="Calibri"/>
                <w:color w:val="auto"/>
                <w:sz w:val="21"/>
                <w:szCs w:val="21"/>
                <w:highlight w:val="none"/>
              </w:rPr>
              <w:t xml:space="preserve">处理突发事件的方案、群体性事件应对预案、消防应急演练方案等，应急方案严密、合理，且能在短时间内调集一定数量的人员应对</w:t>
            </w:r>
            <w:r>
              <w:rPr>
                <w:rFonts w:hint="eastAsia" w:ascii="宋体" w:hAnsi="宋体" w:cs="Calibri"/>
                <w:color w:val="auto"/>
                <w:sz w:val="21"/>
                <w:szCs w:val="21"/>
                <w:highlight w:val="none"/>
                <w:lang w:eastAsia="zh-CN"/>
              </w:rPr>
              <w:t xml:space="preserve">，</w:t>
            </w:r>
            <w:r>
              <w:rPr>
                <w:rFonts w:hint="eastAsia" w:ascii="宋体" w:hAnsi="宋体" w:cs="Calibri"/>
                <w:color w:val="auto"/>
                <w:sz w:val="21"/>
                <w:szCs w:val="21"/>
                <w:highlight w:val="none"/>
              </w:rPr>
              <w:t xml:space="preserve">内容满足招标文件要求，方案细致、合理且可行性强得6分；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内容基本合理全面，具有一定的可行性得4分；</w:t>
            </w:r>
            <w:r/>
          </w:p>
          <w:p>
            <w:pPr>
              <w:numPr>
                <w:ilvl w:val="0"/>
                <w:numId w:val="0"/>
              </w:numPr>
              <w:spacing w:line="360" w:lineRule="auto"/>
              <w:rPr>
                <w:rFonts w:hint="eastAsia" w:ascii="宋体" w:hAnsi="宋体" w:cs="Calibri"/>
                <w:color w:val="auto"/>
                <w:sz w:val="21"/>
                <w:szCs w:val="21"/>
                <w:highlight w:val="none"/>
              </w:rPr>
            </w:pPr>
            <w:r>
              <w:rPr>
                <w:rFonts w:hint="eastAsia" w:ascii="宋体" w:hAnsi="宋体" w:cs="Calibri"/>
                <w:color w:val="auto"/>
                <w:sz w:val="21"/>
                <w:szCs w:val="21"/>
                <w:highlight w:val="none"/>
              </w:rPr>
              <w:t xml:space="preserve">内容简单有明显的不合理项、不可行项的得2分；</w:t>
            </w:r>
            <w:r/>
          </w:p>
          <w:p>
            <w:pPr>
              <w:numPr>
                <w:ilvl w:val="0"/>
                <w:numId w:val="0"/>
              </w:numPr>
              <w:spacing w:line="360" w:lineRule="auto"/>
              <w:rPr>
                <w:rFonts w:hint="eastAsia" w:ascii="Times New Roman" w:hAnsi="Times New Roman" w:eastAsia="宋体"/>
                <w:color w:val="auto"/>
                <w:sz w:val="21"/>
                <w:szCs w:val="21"/>
                <w:highlight w:val="none"/>
              </w:rPr>
            </w:pPr>
            <w:r>
              <w:rPr>
                <w:rFonts w:hint="eastAsia" w:ascii="宋体" w:hAnsi="宋体" w:cs="Calibri"/>
                <w:color w:val="auto"/>
                <w:sz w:val="21"/>
                <w:szCs w:val="21"/>
                <w:highlight w:val="none"/>
              </w:rPr>
              <w:t xml:space="preserve">其余不得分。</w:t>
            </w:r>
            <w:r/>
          </w:p>
        </w:tc>
      </w:tr>
      <w:tr>
        <w:trPr>
          <w:jc w:val="center"/>
          <w:trHeight w:val="1570"/>
        </w:trPr>
        <w:tc>
          <w:tcPr>
            <w:tcW w:w="1122" w:type="dxa"/>
            <w:vAlign w:val="center"/>
            <w:textDirection w:val="lrTb"/>
            <w:noWrap w:val="false"/>
          </w:tcPr>
          <w:p>
            <w:pPr>
              <w:jc w:val="cente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类似业绩</w:t>
            </w:r>
            <w:r/>
          </w:p>
          <w:p>
            <w:pPr>
              <w:jc w:val="center"/>
              <w:spacing w:line="360" w:lineRule="auto"/>
              <w:rPr>
                <w:rFonts w:hint="eastAsia" w:ascii="Times New Roman" w:hAnsi="Times New Roman" w:eastAsia="宋体" w:cs="宋体"/>
                <w:color w:val="auto"/>
                <w:sz w:val="21"/>
                <w:szCs w:val="21"/>
                <w:highlight w:val="none"/>
              </w:rPr>
            </w:pPr>
            <w:r>
              <w:rPr>
                <w:rFonts w:hint="eastAsia" w:ascii="宋体" w:hAnsi="宋体" w:cs="仿宋"/>
                <w:color w:val="auto"/>
                <w:sz w:val="21"/>
                <w:szCs w:val="21"/>
                <w:highlight w:val="none"/>
              </w:rPr>
              <w:t xml:space="preserve">（10分）</w:t>
            </w:r>
            <w:r/>
          </w:p>
        </w:tc>
        <w:tc>
          <w:tcPr>
            <w:tcW w:w="7809" w:type="dxa"/>
            <w:vAlign w:val="center"/>
            <w:textDirection w:val="lrTb"/>
            <w:noWrap w:val="false"/>
          </w:tcPr>
          <w:p>
            <w:pPr>
              <w:jc w:val="left"/>
              <w:spacing w:line="360" w:lineRule="auto"/>
              <w:rPr>
                <w:rFonts w:hint="eastAsia" w:ascii="Times New Roman" w:hAnsi="Times New Roman" w:eastAsia="宋体" w:cs="宋体"/>
                <w:color w:val="auto"/>
                <w:sz w:val="21"/>
                <w:szCs w:val="21"/>
                <w:highlight w:val="none"/>
              </w:rPr>
            </w:pPr>
            <w:r>
              <w:rPr>
                <w:rFonts w:hint="eastAsia" w:ascii="宋体" w:hAnsi="宋体" w:cs="Calibri"/>
                <w:color w:val="auto"/>
                <w:sz w:val="21"/>
                <w:szCs w:val="21"/>
                <w:highlight w:val="none"/>
              </w:rPr>
              <w:t xml:space="preserve">投标人提供2022年1月1日以来类似项目服务业绩合同，每有一份得2分，满分10分。</w:t>
            </w:r>
            <w:r>
              <w:rPr>
                <w:rFonts w:hint="eastAsia" w:ascii="宋体" w:hAnsi="宋体" w:cs="仿宋"/>
                <w:b/>
                <w:bCs/>
                <w:color w:val="auto"/>
                <w:sz w:val="21"/>
                <w:szCs w:val="21"/>
                <w:highlight w:val="none"/>
              </w:rPr>
              <w:t xml:space="preserve">【</w:t>
            </w:r>
            <w:r>
              <w:rPr>
                <w:rFonts w:hint="eastAsia" w:ascii="宋体" w:hAnsi="宋体" w:cs="Calibri"/>
                <w:b/>
                <w:bCs/>
                <w:color w:val="auto"/>
                <w:szCs w:val="21"/>
                <w:highlight w:val="none"/>
                <w:lang w:val="en-US" w:eastAsia="zh-CN"/>
              </w:rPr>
              <w:t xml:space="preserve">以合同签订时间为准，</w:t>
            </w:r>
            <w:r>
              <w:rPr>
                <w:rFonts w:hint="eastAsia" w:ascii="宋体" w:hAnsi="宋体" w:cs="Calibri"/>
                <w:b/>
                <w:bCs/>
                <w:color w:val="auto"/>
                <w:szCs w:val="21"/>
                <w:highlight w:val="none"/>
              </w:rPr>
              <w:t xml:space="preserve">同一项目不同合同期限不累计得分，提供业绩合同及中标通知书，</w:t>
            </w:r>
            <w:r>
              <w:rPr>
                <w:rFonts w:hint="eastAsia" w:ascii="宋体" w:hAnsi="宋体" w:cs="宋体"/>
                <w:b/>
                <w:bCs/>
                <w:color w:val="auto"/>
                <w:szCs w:val="21"/>
                <w:highlight w:val="none"/>
              </w:rPr>
              <w:t xml:space="preserve">依法可以不进行招标的项目，可以提供业主单位或招标代理机构出具的有关中标文件代替中标通知书，</w:t>
            </w:r>
            <w:r>
              <w:rPr>
                <w:rFonts w:hint="eastAsia" w:ascii="宋体" w:hAnsi="宋体" w:cs="Calibri"/>
                <w:b/>
                <w:bCs/>
                <w:color w:val="auto"/>
                <w:szCs w:val="21"/>
                <w:highlight w:val="none"/>
              </w:rPr>
              <w:t xml:space="preserve">原件扫描上传</w:t>
            </w:r>
            <w:r>
              <w:rPr>
                <w:rFonts w:hint="eastAsia" w:ascii="宋体" w:hAnsi="宋体" w:cs="仿宋"/>
                <w:b/>
                <w:bCs/>
                <w:color w:val="auto"/>
                <w:sz w:val="21"/>
                <w:szCs w:val="21"/>
                <w:highlight w:val="none"/>
              </w:rPr>
              <w:t xml:space="preserve">】</w:t>
            </w:r>
            <w:r/>
          </w:p>
        </w:tc>
      </w:tr>
      <w:tr>
        <w:trPr>
          <w:jc w:val="center"/>
          <w:trHeight w:val="1570"/>
        </w:trPr>
        <w:tc>
          <w:tcPr>
            <w:tcW w:w="1122" w:type="dxa"/>
            <w:vAlign w:val="center"/>
            <w:textDirection w:val="lrTb"/>
            <w:noWrap w:val="false"/>
          </w:tcPr>
          <w:p>
            <w:pPr>
              <w:jc w:val="cente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综合实力</w:t>
            </w:r>
            <w:r/>
          </w:p>
          <w:p>
            <w:pPr>
              <w:jc w:val="center"/>
              <w:spacing w:line="360" w:lineRule="auto"/>
              <w:rPr>
                <w:rFonts w:hint="eastAsia" w:ascii="宋体" w:hAnsi="宋体" w:cs="仿宋"/>
                <w:color w:val="auto"/>
                <w:sz w:val="21"/>
                <w:szCs w:val="21"/>
                <w:highlight w:val="none"/>
              </w:rPr>
            </w:pPr>
            <w:r>
              <w:rPr>
                <w:rFonts w:hint="eastAsia" w:ascii="宋体" w:hAnsi="宋体" w:cs="仿宋"/>
                <w:color w:val="auto"/>
                <w:sz w:val="21"/>
                <w:szCs w:val="21"/>
                <w:highlight w:val="none"/>
              </w:rPr>
              <w:t xml:space="preserve">（3分）</w:t>
            </w:r>
            <w:r/>
          </w:p>
        </w:tc>
        <w:tc>
          <w:tcPr>
            <w:tcW w:w="7809" w:type="dxa"/>
            <w:vAlign w:val="top"/>
            <w:textDirection w:val="lrTb"/>
            <w:noWrap w:val="false"/>
          </w:tcPr>
          <w:p>
            <w:pPr>
              <w:jc w:val="left"/>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1、投标人具有有效期内的质量管理体系认证证书，得1分。</w:t>
            </w:r>
            <w:r>
              <w:rPr>
                <w:rFonts w:hint="eastAsia" w:ascii="宋体" w:hAnsi="宋体" w:cs="Calibri"/>
                <w:b/>
                <w:color w:val="auto"/>
                <w:sz w:val="21"/>
                <w:szCs w:val="21"/>
                <w:highlight w:val="none"/>
              </w:rPr>
              <w:t xml:space="preserve">（提供证书原件扫描及</w:t>
            </w:r>
            <w:r>
              <w:rPr>
                <w:rFonts w:hint="eastAsia" w:ascii="宋体" w:hAnsi="宋体" w:cs="仿宋"/>
                <w:b/>
                <w:color w:val="auto"/>
                <w:sz w:val="21"/>
                <w:szCs w:val="21"/>
                <w:highlight w:val="none"/>
              </w:rPr>
              <w:t xml:space="preserve">全国认证认可信息公共服务平台查询截图上传）</w:t>
            </w:r>
            <w:r/>
          </w:p>
          <w:p>
            <w:pPr>
              <w:jc w:val="left"/>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 xml:space="preserve">2、投标人具有有效期内的环境管理体系认证证书，得1分。</w:t>
            </w:r>
            <w:r>
              <w:rPr>
                <w:rFonts w:hint="eastAsia" w:ascii="宋体" w:hAnsi="宋体" w:cs="Calibri"/>
                <w:b/>
                <w:color w:val="auto"/>
                <w:sz w:val="21"/>
                <w:szCs w:val="21"/>
                <w:highlight w:val="none"/>
              </w:rPr>
              <w:t xml:space="preserve">（提供证书原件扫描及</w:t>
            </w:r>
            <w:r>
              <w:rPr>
                <w:rFonts w:hint="eastAsia" w:ascii="宋体" w:hAnsi="宋体" w:cs="仿宋"/>
                <w:b/>
                <w:color w:val="auto"/>
                <w:sz w:val="21"/>
                <w:szCs w:val="21"/>
                <w:highlight w:val="none"/>
              </w:rPr>
              <w:t xml:space="preserve">全国认证认可信息公共服务平台查询截图上传）</w:t>
            </w:r>
            <w:r/>
          </w:p>
          <w:p>
            <w:pPr>
              <w:jc w:val="left"/>
              <w:spacing w:line="360" w:lineRule="auto"/>
              <w:rPr>
                <w:rFonts w:hint="eastAsia" w:ascii="宋体" w:hAnsi="宋体" w:cs="Calibri"/>
                <w:color w:val="auto"/>
                <w:sz w:val="21"/>
                <w:szCs w:val="21"/>
                <w:highlight w:val="none"/>
              </w:rPr>
            </w:pPr>
            <w:r>
              <w:rPr>
                <w:rFonts w:hint="eastAsia" w:ascii="宋体" w:hAnsi="宋体" w:cs="仿宋"/>
                <w:color w:val="auto"/>
                <w:sz w:val="21"/>
                <w:szCs w:val="21"/>
                <w:highlight w:val="none"/>
              </w:rPr>
              <w:t xml:space="preserve">3、投标人具有有效期内的职业健康安全体系认证证书，得1分。</w:t>
            </w:r>
            <w:r>
              <w:rPr>
                <w:rFonts w:hint="eastAsia" w:ascii="宋体" w:hAnsi="宋体" w:cs="Calibri"/>
                <w:b/>
                <w:color w:val="auto"/>
                <w:sz w:val="21"/>
                <w:szCs w:val="21"/>
                <w:highlight w:val="none"/>
              </w:rPr>
              <w:t xml:space="preserve">（提供证书原件扫描及</w:t>
            </w:r>
            <w:r>
              <w:rPr>
                <w:rFonts w:hint="eastAsia" w:ascii="宋体" w:hAnsi="宋体" w:cs="仿宋"/>
                <w:b/>
                <w:color w:val="auto"/>
                <w:sz w:val="21"/>
                <w:szCs w:val="21"/>
                <w:highlight w:val="none"/>
              </w:rPr>
              <w:t xml:space="preserve">全国认证认可信息公共服务平台查询截图上传）</w:t>
            </w:r>
            <w:r/>
          </w:p>
        </w:tc>
      </w:tr>
    </w:tbl>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Times New Roman" w:hAnsi="Times New Roman" w:eastAsia="宋体" w:cs="宋体"/>
          <w:b/>
          <w:color w:val="auto"/>
          <w:szCs w:val="21"/>
          <w:highlight w:val="none"/>
        </w:rPr>
        <w:t xml:space="preserve">四、</w:t>
      </w:r>
      <w:r>
        <w:rPr>
          <w:rFonts w:hint="eastAsia" w:ascii="宋体" w:hAnsi="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（一）政府采购评审中出现下列情形之一的，评审委员会应当启动异常低价投标（响应）审查程序：</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3.投标(响应)报价低于采购项目最高限价45%的，即投标(响应)报价&lt;采购项目最高限价X45%；</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br w:type="page" w:clear="all"/>
      </w:r>
      <w:r/>
    </w:p>
    <w:p>
      <w:pPr>
        <w:pStyle w:val="884"/>
        <w:jc w:val="center"/>
        <w:pageBreakBefore w:val="0"/>
        <w:spacing w:before="0" w:after="0" w:line="360" w:lineRule="auto"/>
        <w:rPr>
          <w:rFonts w:ascii="Times New Roman" w:hAnsi="Times New Roman" w:eastAsia="宋体"/>
          <w:color w:val="auto"/>
          <w:sz w:val="36"/>
          <w:highlight w:val="none"/>
        </w:rPr>
      </w:pPr>
      <w:r/>
      <w:bookmarkStart w:id="163" w:name="_Toc9838"/>
      <w:r>
        <w:rPr>
          <w:rFonts w:hint="eastAsia" w:ascii="Times New Roman" w:hAnsi="Times New Roman" w:eastAsia="宋体"/>
          <w:color w:val="auto"/>
          <w:sz w:val="36"/>
          <w:szCs w:val="36"/>
          <w:highlight w:val="none"/>
        </w:rPr>
        <w:t xml:space="preserve">第六章投标文件格式</w:t>
      </w:r>
      <w:bookmarkEnd w:id="163"/>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五、投标配置与分项报价表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5"/>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164" w:name="_Toc5792"/>
      <w:r/>
      <w:bookmarkStart w:id="165" w:name="_Toc2029"/>
      <w:r/>
      <w:bookmarkStart w:id="166" w:name="_Toc31039"/>
      <w:r>
        <w:rPr>
          <w:rFonts w:hint="eastAsia" w:ascii="Times New Roman" w:hAnsi="Times New Roman" w:eastAsia="宋体"/>
          <w:color w:val="auto"/>
          <w:sz w:val="32"/>
          <w:highlight w:val="none"/>
        </w:rPr>
        <w:t xml:space="preserve">一、资格审查响应对照表</w:t>
      </w:r>
      <w:bookmarkEnd w:id="164"/>
      <w:r/>
      <w:bookmarkEnd w:id="165"/>
      <w:r/>
      <w:bookmarkEnd w:id="166"/>
      <w:r/>
      <w:r/>
    </w:p>
    <w:tbl>
      <w:tblPr>
        <w:tblStyle w:val="888"/>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2024年度或2025年度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9"/>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9"/>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0"/>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20"/>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20"/>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20"/>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5"/>
        <w:pageBreakBefore w:val="0"/>
        <w:spacing w:before="0" w:after="0" w:line="360" w:lineRule="auto"/>
        <w:rPr>
          <w:rFonts w:ascii="Times New Roman" w:hAnsi="Times New Roman" w:eastAsia="宋体"/>
          <w:color w:val="auto"/>
          <w:sz w:val="32"/>
          <w:highlight w:val="none"/>
        </w:rPr>
      </w:pPr>
      <w:r/>
      <w:bookmarkStart w:id="167" w:name="_Toc10588"/>
      <w:r/>
      <w:bookmarkStart w:id="168" w:name="_Toc29496"/>
      <w:r/>
      <w:bookmarkStart w:id="169" w:name="_Toc20616"/>
      <w:r>
        <w:rPr>
          <w:rFonts w:hint="eastAsia" w:ascii="Times New Roman" w:hAnsi="Times New Roman" w:eastAsia="宋体"/>
          <w:color w:val="auto"/>
          <w:sz w:val="32"/>
          <w:highlight w:val="none"/>
        </w:rPr>
        <w:t xml:space="preserve">二、符合性审查响应对照表</w:t>
      </w:r>
      <w:bookmarkEnd w:id="167"/>
      <w:r/>
      <w:bookmarkEnd w:id="168"/>
      <w:r/>
      <w:bookmarkEnd w:id="169"/>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5"/>
        <w:pageBreakBefore w:val="0"/>
        <w:spacing w:before="0" w:after="0" w:line="360" w:lineRule="auto"/>
        <w:rPr>
          <w:rFonts w:ascii="Times New Roman" w:hAnsi="Times New Roman" w:eastAsia="宋体"/>
          <w:color w:val="auto"/>
          <w:sz w:val="32"/>
          <w:highlight w:val="none"/>
        </w:rPr>
      </w:pPr>
      <w:r/>
      <w:bookmarkStart w:id="170" w:name="_Toc23420"/>
      <w:r/>
      <w:bookmarkStart w:id="171" w:name="_Toc3706"/>
      <w:r/>
      <w:bookmarkStart w:id="172" w:name="_Toc13365"/>
      <w:r>
        <w:rPr>
          <w:rFonts w:hint="eastAsia" w:ascii="Times New Roman" w:hAnsi="Times New Roman" w:eastAsia="宋体"/>
          <w:color w:val="auto"/>
          <w:sz w:val="32"/>
          <w:highlight w:val="none"/>
        </w:rPr>
        <w:t xml:space="preserve">三、非实质性响应对照表</w:t>
      </w:r>
      <w:bookmarkEnd w:id="170"/>
      <w:r/>
      <w:bookmarkEnd w:id="171"/>
      <w:r/>
      <w:bookmarkEnd w:id="172"/>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中小企业声明函（工程、服务）</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（租赁和商务服务业）</w:t>
      </w:r>
      <w:r>
        <w:rPr>
          <w:rFonts w:hint="eastAsia" w:ascii="Times New Roman" w:hAnsi="Times New Roman" w:eastAsia="宋体"/>
          <w:b/>
          <w:bCs/>
          <w:color w:val="auto"/>
          <w:highlight w:val="none"/>
          <w:u w:val="single"/>
        </w:rPr>
        <w:t xml:space="preserve">行业</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（租赁和商务服务业）</w:t>
      </w:r>
      <w:r>
        <w:rPr>
          <w:rFonts w:hint="eastAsia" w:ascii="Times New Roman" w:hAnsi="Times New Roman" w:eastAsia="宋体"/>
          <w:b/>
          <w:bCs/>
          <w:color w:val="auto"/>
          <w:highlight w:val="none"/>
          <w:u w:val="single"/>
        </w:rPr>
        <w:t xml:space="preserve">行业</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olor w:val="auto"/>
          <w:highlight w:val="none"/>
        </w:rPr>
        <w:t xml:space="preserve">注：</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3、货物采购项目中，货物制造商应当为中小微企业。</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6、</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w:t>
      </w:r>
      <w:r>
        <w:rPr>
          <w:rFonts w:hint="eastAsia" w:ascii="Times New Roman" w:hAnsi="Times New Roman" w:eastAsia="宋体" w:cs="宋体"/>
          <w:bCs/>
          <w:color w:val="auto"/>
          <w:szCs w:val="21"/>
          <w:highlight w:val="none"/>
          <w:shd w:val="clear" w:color="auto" w:fill="ffffff"/>
          <w:lang w:eastAsia="zh-CN"/>
        </w:rPr>
        <w:t xml:space="preserve">中华人民共和国政府采购法</w:t>
      </w:r>
      <w:r>
        <w:rPr>
          <w:rFonts w:hint="eastAsia" w:ascii="Times New Roman" w:hAnsi="Times New Roman"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日期：</w:t>
      </w:r>
      <w:r/>
    </w:p>
    <w:p>
      <w:pPr>
        <w:jc w:val="center"/>
        <w:pageBreakBefore w:val="0"/>
        <w:spacing w:line="360" w:lineRule="auto"/>
        <w:rPr>
          <w:rStyle w:val="908"/>
          <w:rFonts w:ascii="Times New Roman" w:hAnsi="Times New Roman" w:eastAsia="宋体" w:cs="仿宋"/>
          <w:color w:val="auto"/>
          <w:szCs w:val="21"/>
          <w:highlight w:val="none"/>
        </w:rPr>
      </w:pPr>
      <w:r>
        <w:rPr>
          <w:rStyle w:val="908"/>
          <w:rFonts w:hint="eastAsia" w:ascii="Times New Roman" w:hAnsi="Times New Roman" w:eastAsia="宋体" w:cs="仿宋"/>
          <w:color w:val="auto"/>
          <w:szCs w:val="21"/>
          <w:highlight w:val="none"/>
        </w:rPr>
        <w:t xml:space="preserve">中小微企业划型标准</w:t>
      </w:r>
      <w:r/>
    </w:p>
    <w:p>
      <w:pPr>
        <w:pStyle w:val="904"/>
        <w:ind w:firstLine="420"/>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中小微企业划型标准如下：</w:t>
      </w:r>
      <w:r/>
    </w:p>
    <w:tbl>
      <w:tblPr>
        <w:tblStyle w:val="888"/>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4"/>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ind w:firstLine="420"/>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4"/>
              <w:jc w:val="center"/>
              <w:pageBreakBefore w:val="0"/>
              <w:spacing w:line="360" w:lineRule="auto"/>
              <w:widowControl/>
              <w:rPr>
                <w:rFonts w:ascii="Times New Roman" w:hAnsi="Times New Roman" w:eastAsia="宋体"/>
                <w:color w:val="auto"/>
                <w:sz w:val="21"/>
                <w:szCs w:val="21"/>
                <w:highlight w:val="none"/>
              </w:rPr>
            </w:pPr>
            <w:r>
              <w:rPr>
                <w:rStyle w:val="908"/>
                <w:rFonts w:hint="eastAsia" w:ascii="Times New Roman" w:hAnsi="Times New Roman" w:eastAsia="宋体" w:cs="仿宋"/>
                <w:color w:val="auto"/>
                <w:sz w:val="21"/>
                <w:szCs w:val="21"/>
                <w:highlight w:val="none"/>
              </w:rPr>
              <w:t xml:space="preserve">X＜10</w:t>
            </w:r>
            <w:r/>
          </w:p>
        </w:tc>
      </w:tr>
    </w:tbl>
    <w:p>
      <w:pPr>
        <w:pStyle w:val="904"/>
        <w:ind w:firstLine="810"/>
        <w:pageBreakBefore w:val="0"/>
        <w:spacing w:line="360" w:lineRule="auto"/>
        <w:widowControl/>
        <w:rPr>
          <w:rStyle w:val="908"/>
          <w:rFonts w:ascii="Times New Roman" w:hAnsi="Times New Roman" w:eastAsia="宋体" w:cs="仿宋"/>
          <w:color w:val="auto"/>
          <w:sz w:val="21"/>
          <w:szCs w:val="21"/>
          <w:highlight w:val="none"/>
        </w:rPr>
      </w:pPr>
      <w:r>
        <w:rPr>
          <w:rStyle w:val="908"/>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8"/>
          <w:rFonts w:hint="eastAsia" w:ascii="Times New Roman" w:hAnsi="Times New Roman" w:eastAsia="宋体" w:cs="仿宋"/>
          <w:color w:val="auto"/>
          <w:sz w:val="21"/>
          <w:szCs w:val="21"/>
          <w:highlight w:val="none"/>
          <w:lang w:eastAsia="zh-CN"/>
        </w:rPr>
        <w:t xml:space="preserve">〔2011〕300号</w:t>
      </w:r>
      <w:r>
        <w:rPr>
          <w:rStyle w:val="908"/>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pStyle w:val="886"/>
        <w:pageBreakBefore w:val="0"/>
        <w:spacing w:before="0" w:after="0" w:line="360" w:lineRule="auto"/>
        <w:rPr>
          <w:rStyle w:val="908"/>
          <w:rFonts w:ascii="Times New Roman" w:hAnsi="Times New Roman" w:eastAsia="宋体" w:cs="仿宋"/>
          <w:b w:val="0"/>
          <w:color w:val="auto"/>
          <w:sz w:val="21"/>
          <w:szCs w:val="21"/>
          <w:highlight w:val="none"/>
        </w:rPr>
      </w:pPr>
      <w:r>
        <w:rPr>
          <w:rStyle w:val="908"/>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w:t>
      </w:r>
      <w:r>
        <w:rPr>
          <w:rFonts w:hint="eastAsia" w:ascii="Times New Roman" w:hAnsi="Times New Roman" w:eastAsia="宋体"/>
          <w:color w:val="auto"/>
          <w:szCs w:val="21"/>
          <w:highlight w:val="none"/>
        </w:rPr>
        <w:t xml:space="preserve">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4"/>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4"/>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909"/>
          <w:rFonts w:hint="eastAsia" w:ascii="宋体" w:hAnsi="宋体" w:eastAsia="宋体" w:cs="宋体"/>
          <w:i w:val="0"/>
          <w:color w:val="auto"/>
          <w:highlight w:val="none"/>
          <w:u w:val="single"/>
          <w:shd w:val="clear" w:color="auto" w:fill="ffffff"/>
        </w:rPr>
        <w:t xml:space="preserve">（产品名称1）</w:t>
      </w:r>
      <w:r>
        <w:rPr>
          <w:rStyle w:val="909"/>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909"/>
          <w:rFonts w:hint="eastAsia" w:ascii="宋体" w:hAnsi="宋体" w:eastAsia="宋体" w:cs="宋体"/>
          <w:i w:val="0"/>
          <w:color w:val="auto"/>
          <w:highlight w:val="none"/>
          <w:u w:val="single"/>
          <w:shd w:val="clear" w:color="auto" w:fill="ffffff"/>
        </w:rPr>
        <w:t xml:space="preserve">（厂名）</w:t>
      </w:r>
      <w:r>
        <w:rPr>
          <w:rStyle w:val="909"/>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909"/>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909"/>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909"/>
          <w:rFonts w:hint="eastAsia" w:ascii="宋体" w:hAnsi="宋体" w:eastAsia="宋体" w:cs="宋体"/>
          <w:i w:val="0"/>
          <w:color w:val="auto"/>
          <w:highlight w:val="none"/>
          <w:u w:val="single"/>
          <w:shd w:val="clear" w:color="auto" w:fill="ffffff"/>
        </w:rPr>
        <w:t xml:space="preserve">（规定比例）</w:t>
      </w:r>
      <w:r>
        <w:rPr>
          <w:rStyle w:val="909"/>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909"/>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09"/>
          <w:rFonts w:hint="eastAsia" w:ascii="宋体" w:hAnsi="宋体" w:eastAsia="宋体" w:cs="宋体"/>
          <w:i w:val="0"/>
          <w:color w:val="auto"/>
          <w:highlight w:val="none"/>
          <w:u w:val="single"/>
          <w:shd w:val="clear" w:color="auto" w:fill="ffffff"/>
        </w:rPr>
        <w:t xml:space="preserve">（关键组件）</w:t>
      </w:r>
      <w:r>
        <w:rPr>
          <w:rStyle w:val="909"/>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909"/>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09"/>
          <w:rFonts w:hint="eastAsia" w:ascii="宋体" w:hAnsi="宋体" w:eastAsia="宋体" w:cs="宋体"/>
          <w:i w:val="0"/>
          <w:color w:val="auto"/>
          <w:highlight w:val="none"/>
          <w:u w:val="single"/>
          <w:shd w:val="clear" w:color="auto" w:fill="ffffff"/>
        </w:rPr>
        <w:t xml:space="preserve">（关键工序）</w:t>
      </w:r>
      <w:r>
        <w:rPr>
          <w:rStyle w:val="909"/>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904"/>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909"/>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909"/>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909"/>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909"/>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909"/>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909"/>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909"/>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909"/>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09"/>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904"/>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904"/>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904"/>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ind w:right="480" w:firstLine="37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904"/>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904"/>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04"/>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904"/>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904"/>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904"/>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904"/>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904"/>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5"/>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173" w:name="_Toc19910"/>
      <w:r/>
      <w:r/>
    </w:p>
    <w:p>
      <w:pPr>
        <w:pStyle w:val="885"/>
        <w:pageBreakBefore w:val="0"/>
        <w:spacing w:before="0" w:after="0" w:line="360" w:lineRule="auto"/>
        <w:rPr>
          <w:rFonts w:ascii="Times New Roman" w:hAnsi="Times New Roman" w:eastAsia="宋体"/>
          <w:color w:val="auto"/>
          <w:sz w:val="32"/>
          <w:highlight w:val="none"/>
        </w:rPr>
      </w:pPr>
      <w:r/>
      <w:bookmarkStart w:id="174" w:name="_Toc24565"/>
      <w:r/>
      <w:bookmarkStart w:id="175" w:name="_Toc29012"/>
      <w:r>
        <w:rPr>
          <w:rFonts w:hint="eastAsia" w:ascii="Times New Roman" w:hAnsi="Times New Roman" w:eastAsia="宋体"/>
          <w:color w:val="auto"/>
          <w:sz w:val="32"/>
          <w:highlight w:val="none"/>
        </w:rPr>
        <w:t xml:space="preserve">四、开标一览表</w:t>
      </w:r>
      <w:bookmarkEnd w:id="173"/>
      <w:r/>
      <w:bookmarkEnd w:id="174"/>
      <w:r/>
      <w:bookmarkEnd w:id="175"/>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2"/>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92"/>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19"/>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919"/>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小写：（人民币）</w:t>
            </w:r>
            <w:r/>
          </w:p>
          <w:p>
            <w:pPr>
              <w:pStyle w:val="919"/>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890"/>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59"/>
        <w:jc w:val="center"/>
        <w:pageBreakBefore w:val="0"/>
        <w:spacing w:after="0" w:line="360" w:lineRule="auto"/>
        <w:rPr>
          <w:rFonts w:ascii="Times New Roman" w:hAnsi="Times New Roman" w:eastAsia="宋体"/>
          <w:b/>
          <w:bCs/>
          <w:color w:val="auto"/>
          <w:sz w:val="24"/>
          <w:szCs w:val="24"/>
          <w:highlight w:val="none"/>
          <w:lang w:eastAsia="zh-CN"/>
        </w:rPr>
      </w:pPr>
      <w:r/>
      <w:bookmarkStart w:id="176" w:name="_Toc17891"/>
      <w:r>
        <w:rPr>
          <w:rFonts w:hint="eastAsia" w:ascii="Times New Roman" w:hAnsi="Times New Roman" w:eastAsia="宋体"/>
          <w:b/>
          <w:bCs/>
          <w:color w:val="auto"/>
          <w:sz w:val="32"/>
          <w:highlight w:val="none"/>
        </w:rPr>
        <w:t xml:space="preserve">五、分项报价表</w:t>
      </w:r>
      <w:bookmarkEnd w:id="176"/>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8"/>
        <w:tblW w:w="8804" w:type="dxa"/>
        <w:tblInd w:w="58" w:type="dxa"/>
        <w:tblLayout w:type="fixed"/>
        <w:tblCellMar>
          <w:left w:w="108" w:type="dxa"/>
          <w:top w:w="0" w:type="dxa"/>
          <w:right w:w="108" w:type="dxa"/>
          <w:bottom w:w="0" w:type="dxa"/>
        </w:tblCellMar>
        <w:tblLook w:val="04A0" w:firstRow="1" w:lastRow="0" w:firstColumn="1" w:lastColumn="0" w:noHBand="0" w:noVBand="1"/>
      </w:tblPr>
      <w:tblGrid>
        <w:gridCol w:w="866"/>
        <w:gridCol w:w="1200"/>
        <w:gridCol w:w="1635"/>
        <w:gridCol w:w="1198"/>
        <w:gridCol w:w="928"/>
        <w:gridCol w:w="1123"/>
        <w:gridCol w:w="1854"/>
      </w:tblGrid>
      <w:tr>
        <w:trPr>
          <w:trHeight w:val="735"/>
        </w:trPr>
        <w:tc>
          <w:tcPr>
            <w:tcBorders>
              <w:top w:val="single" w:color="auto" w:sz="4" w:space="0"/>
              <w:left w:val="single" w:color="auto" w:sz="4" w:space="0"/>
              <w:bottom w:val="single" w:color="auto" w:sz="4"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auto" w:sz="4" w:space="0"/>
              <w:left w:val="none" w:color="000000" w:sz="4" w:space="0"/>
              <w:bottom w:val="single" w:color="auto" w:sz="4" w:space="0"/>
              <w:right w:val="single" w:color="000000" w:sz="8" w:space="0"/>
            </w:tcBorders>
            <w:tcW w:w="1198"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auto" w:sz="4" w:space="0"/>
              <w:left w:val="none" w:color="000000" w:sz="4" w:space="0"/>
              <w:bottom w:val="single" w:color="auto" w:sz="4" w:space="0"/>
              <w:right w:val="single" w:color="000000" w:sz="8" w:space="0"/>
            </w:tcBorders>
            <w:tcW w:w="928"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单价（月）</w:t>
            </w:r>
            <w:r/>
          </w:p>
        </w:tc>
        <w:tc>
          <w:tcPr>
            <w:tcBorders>
              <w:top w:val="single" w:color="auto" w:sz="4" w:space="0"/>
              <w:left w:val="none" w:color="000000" w:sz="4" w:space="0"/>
              <w:bottom w:val="single" w:color="auto" w:sz="4" w:space="0"/>
              <w:right w:val="single" w:color="000000" w:sz="8" w:space="0"/>
            </w:tcBorders>
            <w:tcW w:w="1123"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总价（年）</w:t>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测算依据</w:t>
            </w:r>
            <w:r/>
          </w:p>
        </w:tc>
      </w:tr>
      <w:tr>
        <w:trPr>
          <w:trHeight w:val="450"/>
        </w:trPr>
        <w:tc>
          <w:tcPr>
            <w:tcBorders>
              <w:top w:val="single" w:color="auto" w:sz="4" w:space="0"/>
              <w:left w:val="single" w:color="000000" w:sz="8" w:space="0"/>
              <w:bottom w:val="single" w:color="000000" w:sz="8" w:space="0"/>
              <w:right w:val="single" w:color="000000" w:sz="8" w:space="0"/>
            </w:tcBorders>
            <w:tcW w:w="866"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000000" w:sz="8" w:space="0"/>
              <w:bottom w:val="none" w:color="000000" w:sz="4" w:space="0"/>
              <w:right w:val="single" w:color="auto" w:sz="8" w:space="0"/>
            </w:tcBorders>
            <w:tcW w:w="1200"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人员工资</w:t>
            </w:r>
            <w:r/>
          </w:p>
        </w:tc>
        <w:tc>
          <w:tcPr>
            <w:tcBorders>
              <w:top w:val="single" w:color="auto"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cs="宋体"/>
                <w:color w:val="auto"/>
                <w:sz w:val="21"/>
                <w:szCs w:val="21"/>
                <w:highlight w:val="none"/>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人</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none" w:color="000000" w:sz="4" w:space="0"/>
              <w:bottom w:val="single" w:color="000000" w:sz="8"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项目主管</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秩序维护队长</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秩序维护员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06"/>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监控室值班人员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会务主管</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会务接待人员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总服务台人员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宿舍管理服务人员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楼层管理员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4人</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66"/>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4"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设备设施运营保障人员</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1人</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41"/>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4"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食堂厨师</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06"/>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8" w:space="0"/>
              <w:bottom w:val="none" w:color="000000" w:sz="4" w:space="0"/>
              <w:right w:val="single" w:color="auto" w:sz="4" w:space="0"/>
            </w:tcBorders>
            <w:tcW w:w="1200"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食堂勤杂兼服务员</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人</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社会保险</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none" w:color="000000" w:sz="4" w:space="0"/>
              <w:bottom w:val="single" w:color="000000" w:sz="8" w:space="0"/>
              <w:right w:val="single" w:color="000000" w:sz="8" w:space="0"/>
            </w:tcBorders>
            <w:tcW w:w="1854" w:type="dxa"/>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医疗保险</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住房公积金（5%-12%）</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olor w:val="auto"/>
                <w:highlight w:val="none"/>
              </w:rPr>
              <w:t xml:space="preserve">按人社局要求，当项目人员工资报价-项目人员按下限自行缴存的住房公积金≤我市最低工资标准，测算的住房公积金应为企业缴纳和个人缴纳之和。</w:t>
            </w:r>
            <w:r/>
          </w:p>
        </w:tc>
      </w:tr>
      <w:tr>
        <w:trPr>
          <w:trHeight w:val="8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法定节假日加班费</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（按13天计算）</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854"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基本工资/21.75*13天*3倍</w:t>
            </w:r>
            <w:r/>
          </w:p>
        </w:tc>
      </w:tr>
      <w:tr>
        <w:trPr>
          <w:trHeight w:val="855"/>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Borders>
              <w:top w:val="single" w:color="000000" w:sz="8" w:space="0"/>
              <w:left w:val="none" w:color="000000" w:sz="4" w:space="0"/>
              <w:bottom w:val="single" w:color="auto" w:sz="4" w:space="0"/>
              <w:right w:val="single" w:color="000000" w:sz="8" w:space="0"/>
            </w:tcBorders>
            <w:tcW w:w="28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周末加班费（除法定节假日之外）</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8" w:space="0"/>
            </w:tcBorders>
            <w:tcW w:w="1854"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基本工资/21.75*2倍</w:t>
            </w:r>
            <w:r/>
          </w:p>
        </w:tc>
      </w:tr>
      <w:tr>
        <w:trPr>
          <w:trHeight w:val="855"/>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高温补贴</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高温补贴不低于国家相关规定标准300元/月，计4月/年/人。</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服装费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按本项目所需进行测算</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耗材</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按本项目所需进行测算</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设备折旧费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税费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按国家相关政策</w:t>
            </w:r>
            <w:r/>
          </w:p>
        </w:tc>
      </w:tr>
      <w:tr>
        <w:trPr>
          <w:trHeight w:val="946"/>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gridSpan w:val="2"/>
            <w:tcBorders>
              <w:top w:val="single" w:color="000000" w:sz="8" w:space="0"/>
              <w:left w:val="none" w:color="000000" w:sz="4" w:space="0"/>
              <w:bottom w:val="single" w:color="auto" w:sz="4" w:space="0"/>
              <w:right w:val="single" w:color="000000" w:sz="8"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（投标人可自行添加）</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color w:val="auto"/>
                <w:highlight w:val="none"/>
              </w:rPr>
              <w:t xml:space="preserve">按本项目所需进行测算</w:t>
            </w:r>
            <w:r/>
          </w:p>
        </w:tc>
      </w:tr>
      <w:tr>
        <w:trPr>
          <w:trHeight w:val="107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10"/>
        </w:trPr>
        <w:tc>
          <w:tcPr>
            <w:gridSpan w:val="7"/>
            <w:tcBorders>
              <w:top w:val="single" w:color="auto" w:sz="4" w:space="0"/>
              <w:left w:val="none" w:color="000000" w:sz="4" w:space="0"/>
              <w:bottom w:val="none" w:color="000000" w:sz="4" w:space="0"/>
              <w:right w:val="none" w:color="000000" w:sz="4" w:space="0"/>
            </w:tcBorders>
            <w:tcW w:w="8804"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left="360"/>
              <w:spacing w:line="360" w:lineRule="auto"/>
              <w:rPr>
                <w:rFonts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1、分项报价表中已注明的“数量”这一列的具体数字只可适当增加但不可减少。</w:t>
            </w:r>
            <w:r/>
          </w:p>
          <w:p>
            <w:pPr>
              <w:ind w:left="360"/>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2、分项报价表中（除其他费用可自行添加外）列明的项目不可修改。</w:t>
            </w:r>
            <w:r/>
          </w:p>
          <w:p>
            <w:pPr>
              <w:ind w:left="360"/>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3、分项报价表严禁总价让利。</w:t>
            </w:r>
            <w:r/>
          </w:p>
          <w:p>
            <w:pPr>
              <w:ind w:left="360"/>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4、分项报价表中所列明的项目不接受赠送。</w:t>
            </w:r>
            <w:r/>
          </w:p>
          <w:p>
            <w:pPr>
              <w:contextualSpacing/>
              <w:ind w:firstLine="422"/>
              <w:jc w:val="left"/>
              <w:spacing w:line="360" w:lineRule="auto"/>
              <w:widowControl/>
              <w:rPr>
                <w:rFonts w:hint="eastAsia" w:ascii="宋体" w:hAnsi="宋体" w:eastAsia="宋体" w:cs="宋体"/>
                <w:iCs/>
                <w:color w:val="auto"/>
                <w:sz w:val="21"/>
                <w:szCs w:val="21"/>
                <w:highlight w:val="none"/>
              </w:rPr>
            </w:pPr>
            <w:r>
              <w:rPr>
                <w:rFonts w:hint="eastAsia" w:ascii="宋体" w:hAnsi="宋体" w:cs="宋体"/>
                <w:b/>
                <w:bCs/>
                <w:color w:val="auto"/>
                <w:highlight w:val="none"/>
              </w:rPr>
              <w:t xml:space="preserve">5、采购人要求依法缴纳社保、医保、住房公积金的人数必须能够满足项目实施需要。如投标人享受税收、社保、医保、住房公积金优惠政策或符合相关政策法规，请提供相应证明材料，并承诺材料真实有效，以便采购人、监管部门履约期间核查。</w:t>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Style w:val="885"/>
        <w:pageBreakBefore w:val="0"/>
        <w:spacing w:before="0" w:after="0" w:line="360" w:lineRule="auto"/>
        <w:rPr>
          <w:rFonts w:ascii="Times New Roman" w:hAnsi="Times New Roman" w:eastAsia="宋体"/>
          <w:color w:val="auto"/>
          <w:sz w:val="32"/>
          <w:highlight w:val="none"/>
        </w:rPr>
      </w:pPr>
      <w:r/>
      <w:bookmarkStart w:id="177" w:name="_Toc1749"/>
      <w:r/>
      <w:bookmarkStart w:id="178" w:name="_Toc5967"/>
      <w:r/>
      <w:bookmarkStart w:id="179" w:name="_Toc24125"/>
      <w:r>
        <w:rPr>
          <w:rFonts w:hint="eastAsia" w:ascii="Times New Roman" w:hAnsi="Times New Roman" w:eastAsia="宋体"/>
          <w:color w:val="auto"/>
          <w:sz w:val="32"/>
          <w:highlight w:val="none"/>
        </w:rPr>
        <w:t xml:space="preserve">六、技术参数响应及偏离表</w:t>
      </w:r>
      <w:bookmarkEnd w:id="177"/>
      <w:r/>
      <w:bookmarkEnd w:id="178"/>
      <w:r/>
      <w:bookmarkEnd w:id="179"/>
      <w:r/>
      <w:r/>
    </w:p>
    <w:tbl>
      <w:tblPr>
        <w:tblStyle w:val="888"/>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5"/>
        <w:pageBreakBefore w:val="0"/>
        <w:spacing w:before="0" w:after="0" w:line="360" w:lineRule="auto"/>
        <w:rPr>
          <w:rFonts w:ascii="Times New Roman" w:hAnsi="Times New Roman" w:eastAsia="宋体"/>
          <w:color w:val="auto"/>
          <w:sz w:val="32"/>
          <w:highlight w:val="none"/>
        </w:rPr>
      </w:pPr>
      <w:r/>
      <w:bookmarkStart w:id="180" w:name="_Hlt26955054"/>
      <w:r/>
      <w:bookmarkEnd w:id="180"/>
      <w:r/>
      <w:bookmarkStart w:id="181" w:name="_Toc28180"/>
      <w:r/>
      <w:bookmarkStart w:id="182" w:name="_Toc13755"/>
      <w:r/>
      <w:bookmarkStart w:id="183" w:name="_Toc16820"/>
      <w:r>
        <w:rPr>
          <w:rFonts w:hint="eastAsia" w:ascii="Times New Roman" w:hAnsi="Times New Roman" w:eastAsia="宋体"/>
          <w:color w:val="auto"/>
          <w:sz w:val="32"/>
          <w:highlight w:val="none"/>
        </w:rPr>
        <w:t xml:space="preserve">七、商务条款响应及偏离表</w:t>
      </w:r>
      <w:bookmarkEnd w:id="181"/>
      <w:r/>
      <w:bookmarkEnd w:id="182"/>
      <w:r/>
      <w:bookmarkEnd w:id="183"/>
      <w:r/>
      <w:r/>
    </w:p>
    <w:tbl>
      <w:tblPr>
        <w:tblStyle w:val="888"/>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184" w:name="_Hlt26955064"/>
            <w:r/>
            <w:bookmarkEnd w:id="184"/>
            <w:r/>
            <w:bookmarkStart w:id="185" w:name="_Hlt26609391"/>
            <w:r/>
            <w:bookmarkEnd w:id="185"/>
            <w:r/>
            <w:bookmarkStart w:id="186" w:name="_Hlt26671343"/>
            <w:r/>
            <w:bookmarkEnd w:id="186"/>
            <w:r/>
            <w:bookmarkStart w:id="187" w:name="_Hlt26580838"/>
            <w:r/>
            <w:bookmarkEnd w:id="187"/>
            <w:r/>
            <w:bookmarkStart w:id="188" w:name="_Hlt26671372"/>
            <w:r/>
            <w:bookmarkEnd w:id="188"/>
            <w:r/>
            <w:bookmarkStart w:id="189" w:name="_Hlt26782999"/>
            <w:r/>
            <w:bookmarkEnd w:id="189"/>
            <w:r/>
            <w:bookmarkStart w:id="190" w:name="_Hlt24879081"/>
            <w:r/>
            <w:bookmarkEnd w:id="190"/>
            <w:r/>
            <w:bookmarkStart w:id="191" w:name="_Hlt26955056"/>
            <w:r/>
            <w:bookmarkEnd w:id="191"/>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90"/>
        <w:ind w:firstLine="480"/>
        <w:pageBreakBefore w:val="0"/>
        <w:spacing w:line="360" w:lineRule="auto"/>
        <w:rPr>
          <w:rFonts w:ascii="Times New Roman" w:hAnsi="Times New Roman" w:eastAsia="宋体"/>
          <w:color w:val="auto"/>
          <w:sz w:val="24"/>
          <w:highlight w:val="none"/>
        </w:rPr>
      </w:pPr>
      <w:r/>
      <w:bookmarkStart w:id="192" w:name="_Hlt26609389"/>
      <w:r/>
      <w:bookmarkEnd w:id="192"/>
      <w:r/>
      <w:bookmarkStart w:id="193" w:name="_Hlt26955066"/>
      <w:r/>
      <w:bookmarkEnd w:id="193"/>
      <w:r/>
      <w:bookmarkStart w:id="194" w:name="_Hlt26671374"/>
      <w:r/>
      <w:bookmarkEnd w:id="194"/>
      <w:r/>
      <w:bookmarkStart w:id="195" w:name="_Toc462564146"/>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90"/>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95"/>
      <w:r/>
      <w:r/>
    </w:p>
    <w:p>
      <w:pPr>
        <w:ind w:firstLine="422"/>
        <w:jc w:val="center"/>
        <w:spacing w:line="360" w:lineRule="auto"/>
        <w:rPr>
          <w:b/>
          <w:bCs/>
          <w:color w:val="auto"/>
          <w:szCs w:val="21"/>
          <w:highlight w:val="none"/>
        </w:rPr>
      </w:pPr>
      <w:r>
        <w:rPr>
          <w:rFonts w:hint="eastAsia" w:ascii="宋体" w:hAnsi="宋体" w:cs="宋体"/>
          <w:b/>
          <w:color w:val="auto"/>
          <w:sz w:val="32"/>
          <w:szCs w:val="32"/>
          <w:highlight w:val="none"/>
        </w:rPr>
        <w:t xml:space="preserve">八、拟投入人员一览表</w:t>
      </w:r>
      <w:r/>
    </w:p>
    <w:tbl>
      <w:tblPr>
        <w:tblStyle w:val="888"/>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序号</w:t>
            </w:r>
            <w:r/>
          </w:p>
        </w:tc>
        <w:tc>
          <w:tcPr>
            <w:tcW w:w="743"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岗位</w:t>
            </w:r>
            <w:r/>
          </w:p>
        </w:tc>
        <w:tc>
          <w:tcPr>
            <w:tcW w:w="744"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姓 名</w:t>
            </w:r>
            <w:r/>
          </w:p>
        </w:tc>
        <w:tc>
          <w:tcPr>
            <w:tcW w:w="801"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性别</w:t>
            </w:r>
            <w:r/>
          </w:p>
        </w:tc>
        <w:tc>
          <w:tcPr>
            <w:tcW w:w="727"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学历</w:t>
            </w:r>
            <w:r/>
          </w:p>
        </w:tc>
        <w:tc>
          <w:tcPr>
            <w:tcW w:w="1365"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出生年月</w:t>
            </w:r>
            <w:r/>
          </w:p>
        </w:tc>
        <w:tc>
          <w:tcPr>
            <w:tcW w:w="855"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专业</w:t>
            </w:r>
            <w:r/>
          </w:p>
        </w:tc>
        <w:tc>
          <w:tcPr>
            <w:tcW w:w="1573"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证书及编号</w:t>
            </w:r>
            <w:r/>
          </w:p>
        </w:tc>
        <w:tc>
          <w:tcPr>
            <w:tcW w:w="871"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8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bl>
    <w:p>
      <w:pPr>
        <w:pStyle w:val="965"/>
        <w:ind w:firstLine="0"/>
        <w:spacing w:line="360" w:lineRule="auto"/>
        <w:rPr>
          <w:rFonts w:hint="eastAsia" w:ascii="宋体" w:hAnsi="宋体"/>
          <w:bCs/>
          <w:color w:val="auto"/>
          <w:highlight w:val="none"/>
        </w:rPr>
      </w:pPr>
      <w:r>
        <w:rPr>
          <w:rFonts w:hint="eastAsia" w:ascii="宋体" w:hAnsi="宋体"/>
          <w:bCs/>
          <w:color w:val="auto"/>
          <w:highlight w:val="none"/>
        </w:rPr>
      </w:r>
      <w:r/>
    </w:p>
    <w:p>
      <w:pPr>
        <w:rPr>
          <w:rFonts w:hint="eastAsia" w:ascii="Times New Roman" w:hAnsi="Times New Roman" w:eastAsia="宋体"/>
          <w:b/>
          <w:color w:val="auto"/>
          <w:highlight w:val="none"/>
        </w:rPr>
      </w:pPr>
      <w:r>
        <w:rPr>
          <w:rFonts w:hint="eastAsia" w:ascii="Times New Roman" w:hAnsi="Times New Roman" w:eastAsia="宋体"/>
          <w:b/>
          <w:color w:val="auto"/>
          <w:highlight w:val="none"/>
        </w:rPr>
        <w:br w:type="page" w:clear="all"/>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8"/>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联合体协议（如有）</w:t>
      </w:r>
      <w:r/>
    </w:p>
    <w:p>
      <w:pPr>
        <w:ind w:firstLine="211"/>
        <w:jc w:val="cente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（联合体中各供应商全称）在此达成以下协议：</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自愿组成联合体，参加江苏省政府采购中心组织的采购编号为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46"/>
        <w:jc w:val="righ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64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ascii="Times New Roman" w:hAnsi="Times New Roman" w:eastAsia="宋体"/>
          <w:color w:val="auto"/>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both"/>
    </w:pPr>
    <w:r>
      <w:rPr>
        <w:rFonts w:hint="eastAsia"/>
        <w:lang w:eastAsia="zh-CN"/>
      </w:rPr>
      <w:t xml:space="preserve">JSZC-321000-SWGC-G2026-0044</w:t>
    </w:r>
    <w:r>
      <w:rPr>
        <w:rFonts w:hint="eastAsia"/>
      </w:rPr>
      <w:t xml:space="preserve">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both"/>
    </w:pPr>
    <w:r>
      <w:rPr>
        <w:rFonts w:hint="eastAsia"/>
        <w:lang w:eastAsia="zh-CN"/>
      </w:rPr>
      <w:t xml:space="preserve">JSZC-321000-SWGC-G2026-0044</w:t>
    </w:r>
    <w:r>
      <w:rPr>
        <w:rFonts w:hint="eastAsia"/>
      </w:rPr>
      <w:t xml:space="preserve">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0"/>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3"/>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3"/>
      <w:isLgl w:val="false"/>
      <w:suff w:val="tab"/>
      <w:lvlText w:val="%1"/>
      <w:lvlJc w:val="left"/>
      <w:pPr>
        <w:ind w:left="432" w:hanging="432"/>
      </w:pPr>
    </w:lvl>
    <w:lvl w:ilvl="1">
      <w:start w:val="1"/>
      <w:numFmt w:val="decimal"/>
      <w:pStyle w:val="954"/>
      <w:isLgl w:val="false"/>
      <w:suff w:val="tab"/>
      <w:lvlText w:val="%1.%2"/>
      <w:lvlJc w:val="left"/>
      <w:pPr>
        <w:ind w:left="576" w:hanging="576"/>
      </w:pPr>
    </w:lvl>
    <w:lvl w:ilvl="2">
      <w:start w:val="1"/>
      <w:numFmt w:val="decimal"/>
      <w:pStyle w:val="956"/>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7"/>
    <w:link w:val="884"/>
    <w:uiPriority w:val="9"/>
    <w:rPr>
      <w:rFonts w:ascii="Arial" w:hAnsi="Arial" w:eastAsia="Arial" w:cs="Arial"/>
      <w:sz w:val="40"/>
      <w:szCs w:val="40"/>
    </w:rPr>
  </w:style>
  <w:style w:type="character" w:styleId="717">
    <w:name w:val="Heading 2 Char"/>
    <w:basedOn w:val="887"/>
    <w:link w:val="885"/>
    <w:uiPriority w:val="9"/>
    <w:rPr>
      <w:rFonts w:ascii="Arial" w:hAnsi="Arial" w:eastAsia="Arial" w:cs="Arial"/>
      <w:sz w:val="34"/>
    </w:rPr>
  </w:style>
  <w:style w:type="character" w:styleId="718">
    <w:name w:val="Heading 3 Char"/>
    <w:basedOn w:val="887"/>
    <w:link w:val="886"/>
    <w:uiPriority w:val="9"/>
    <w:rPr>
      <w:rFonts w:ascii="Arial" w:hAnsi="Arial" w:eastAsia="Arial" w:cs="Arial"/>
      <w:sz w:val="30"/>
      <w:szCs w:val="30"/>
    </w:rPr>
  </w:style>
  <w:style w:type="paragraph" w:styleId="719">
    <w:name w:val="Heading 4"/>
    <w:basedOn w:val="883"/>
    <w:next w:val="883"/>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basedOn w:val="887"/>
    <w:link w:val="719"/>
    <w:uiPriority w:val="9"/>
    <w:rPr>
      <w:rFonts w:ascii="Arial" w:hAnsi="Arial" w:eastAsia="Arial" w:cs="Arial"/>
      <w:b/>
      <w:bCs/>
      <w:sz w:val="26"/>
      <w:szCs w:val="26"/>
    </w:rPr>
  </w:style>
  <w:style w:type="paragraph" w:styleId="721">
    <w:name w:val="Heading 5"/>
    <w:basedOn w:val="883"/>
    <w:next w:val="883"/>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87"/>
    <w:link w:val="721"/>
    <w:uiPriority w:val="9"/>
    <w:rPr>
      <w:rFonts w:ascii="Arial" w:hAnsi="Arial" w:eastAsia="Arial" w:cs="Arial"/>
      <w:b/>
      <w:bCs/>
      <w:sz w:val="24"/>
      <w:szCs w:val="24"/>
    </w:rPr>
  </w:style>
  <w:style w:type="paragraph" w:styleId="723">
    <w:name w:val="Heading 6"/>
    <w:basedOn w:val="883"/>
    <w:next w:val="883"/>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87"/>
    <w:link w:val="723"/>
    <w:uiPriority w:val="9"/>
    <w:rPr>
      <w:rFonts w:ascii="Arial" w:hAnsi="Arial" w:eastAsia="Arial" w:cs="Arial"/>
      <w:b/>
      <w:bCs/>
      <w:sz w:val="22"/>
      <w:szCs w:val="22"/>
    </w:rPr>
  </w:style>
  <w:style w:type="paragraph" w:styleId="725">
    <w:name w:val="Heading 7"/>
    <w:basedOn w:val="883"/>
    <w:next w:val="883"/>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87"/>
    <w:link w:val="725"/>
    <w:uiPriority w:val="9"/>
    <w:rPr>
      <w:rFonts w:ascii="Arial" w:hAnsi="Arial" w:eastAsia="Arial" w:cs="Arial"/>
      <w:b/>
      <w:bCs/>
      <w:i/>
      <w:iCs/>
      <w:sz w:val="22"/>
      <w:szCs w:val="22"/>
    </w:rPr>
  </w:style>
  <w:style w:type="paragraph" w:styleId="727">
    <w:name w:val="Heading 8"/>
    <w:basedOn w:val="883"/>
    <w:next w:val="883"/>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87"/>
    <w:link w:val="727"/>
    <w:uiPriority w:val="9"/>
    <w:rPr>
      <w:rFonts w:ascii="Arial" w:hAnsi="Arial" w:eastAsia="Arial" w:cs="Arial"/>
      <w:i/>
      <w:iCs/>
      <w:sz w:val="22"/>
      <w:szCs w:val="22"/>
    </w:rPr>
  </w:style>
  <w:style w:type="paragraph" w:styleId="729">
    <w:name w:val="Heading 9"/>
    <w:basedOn w:val="883"/>
    <w:next w:val="883"/>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87"/>
    <w:link w:val="729"/>
    <w:uiPriority w:val="9"/>
    <w:rPr>
      <w:rFonts w:ascii="Arial" w:hAnsi="Arial" w:eastAsia="Arial" w:cs="Arial"/>
      <w:i/>
      <w:iCs/>
      <w:sz w:val="21"/>
      <w:szCs w:val="21"/>
    </w:rPr>
  </w:style>
  <w:style w:type="paragraph" w:styleId="731">
    <w:name w:val="Title"/>
    <w:basedOn w:val="883"/>
    <w:next w:val="883"/>
    <w:link w:val="732"/>
    <w:uiPriority w:val="10"/>
    <w:qFormat/>
    <w:pPr>
      <w:contextualSpacing/>
      <w:spacing w:before="300" w:after="200"/>
    </w:pPr>
    <w:rPr>
      <w:sz w:val="48"/>
      <w:szCs w:val="48"/>
    </w:rPr>
  </w:style>
  <w:style w:type="character" w:styleId="732">
    <w:name w:val="Title Char"/>
    <w:basedOn w:val="887"/>
    <w:link w:val="731"/>
    <w:uiPriority w:val="10"/>
    <w:rPr>
      <w:sz w:val="48"/>
      <w:szCs w:val="48"/>
    </w:rPr>
  </w:style>
  <w:style w:type="paragraph" w:styleId="733">
    <w:name w:val="Subtitle"/>
    <w:basedOn w:val="883"/>
    <w:next w:val="883"/>
    <w:link w:val="734"/>
    <w:uiPriority w:val="11"/>
    <w:qFormat/>
    <w:pPr>
      <w:spacing w:before="200" w:after="200"/>
    </w:pPr>
    <w:rPr>
      <w:sz w:val="24"/>
      <w:szCs w:val="24"/>
    </w:rPr>
  </w:style>
  <w:style w:type="character" w:styleId="734">
    <w:name w:val="Subtitle Char"/>
    <w:basedOn w:val="887"/>
    <w:link w:val="733"/>
    <w:uiPriority w:val="11"/>
    <w:rPr>
      <w:sz w:val="24"/>
      <w:szCs w:val="24"/>
    </w:rPr>
  </w:style>
  <w:style w:type="paragraph" w:styleId="735">
    <w:name w:val="Quote"/>
    <w:basedOn w:val="883"/>
    <w:next w:val="883"/>
    <w:link w:val="736"/>
    <w:uiPriority w:val="29"/>
    <w:qFormat/>
    <w:pPr>
      <w:ind w:left="720" w:right="720"/>
    </w:pPr>
    <w:rPr>
      <w:i/>
    </w:rPr>
  </w:style>
  <w:style w:type="character" w:styleId="736">
    <w:name w:val="Quote Char"/>
    <w:link w:val="735"/>
    <w:uiPriority w:val="29"/>
    <w:rPr>
      <w:i/>
    </w:rPr>
  </w:style>
  <w:style w:type="paragraph" w:styleId="737">
    <w:name w:val="Intense Quote"/>
    <w:basedOn w:val="883"/>
    <w:next w:val="883"/>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7"/>
    <w:link w:val="899"/>
    <w:uiPriority w:val="99"/>
  </w:style>
  <w:style w:type="character" w:styleId="740">
    <w:name w:val="Footer Char"/>
    <w:basedOn w:val="887"/>
    <w:link w:val="898"/>
    <w:uiPriority w:val="99"/>
  </w:style>
  <w:style w:type="paragraph" w:styleId="741">
    <w:name w:val="Caption"/>
    <w:basedOn w:val="883"/>
    <w:next w:val="883"/>
    <w:uiPriority w:val="35"/>
    <w:semiHidden/>
    <w:unhideWhenUsed/>
    <w:qFormat/>
    <w:pPr>
      <w:spacing w:line="276" w:lineRule="auto"/>
    </w:pPr>
    <w:rPr>
      <w:b/>
      <w:bCs/>
      <w:color w:val="4f81bd" w:themeColor="accent1"/>
      <w:sz w:val="18"/>
      <w:szCs w:val="18"/>
    </w:rPr>
  </w:style>
  <w:style w:type="character" w:styleId="742">
    <w:name w:val="Caption Char"/>
    <w:basedOn w:val="741"/>
    <w:link w:val="898"/>
    <w:uiPriority w:val="99"/>
  </w:style>
  <w:style w:type="table" w:styleId="743">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9">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3">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1">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8">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1">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5">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5">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9">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2">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6">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6">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0">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3"/>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7"/>
    <w:uiPriority w:val="99"/>
    <w:unhideWhenUsed/>
    <w:rPr>
      <w:vertAlign w:val="superscript"/>
    </w:rPr>
  </w:style>
  <w:style w:type="paragraph" w:styleId="871">
    <w:name w:val="endnote text"/>
    <w:basedOn w:val="883"/>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7"/>
    <w:uiPriority w:val="99"/>
    <w:semiHidden/>
    <w:unhideWhenUsed/>
    <w:rPr>
      <w:vertAlign w:val="superscript"/>
    </w:r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9"/>
    <w:uiPriority w:val="0"/>
    <w:qFormat/>
    <w:pPr>
      <w:jc w:val="both"/>
      <w:widowControl w:val="off"/>
    </w:pPr>
    <w:rPr>
      <w:rFonts w:ascii="Calibri" w:hAnsi="Calibri" w:eastAsia="宋体" w:cs="Times New Roman"/>
      <w:sz w:val="21"/>
      <w:szCs w:val="22"/>
      <w:lang w:val="en-US" w:eastAsia="zh-CN" w:bidi="ar-SA"/>
    </w:rPr>
  </w:style>
  <w:style w:type="paragraph" w:styleId="884">
    <w:name w:val="Heading 1"/>
    <w:basedOn w:val="883"/>
    <w:next w:val="883"/>
    <w:uiPriority w:val="9"/>
    <w:qFormat/>
    <w:pPr>
      <w:keepLines/>
      <w:keepNext/>
      <w:spacing w:before="340" w:after="330" w:line="578" w:lineRule="auto"/>
      <w:outlineLvl w:val="0"/>
    </w:pPr>
    <w:rPr>
      <w:b/>
      <w:bCs/>
      <w:sz w:val="44"/>
      <w:szCs w:val="44"/>
    </w:rPr>
  </w:style>
  <w:style w:type="paragraph" w:styleId="885">
    <w:name w:val="Heading 2"/>
    <w:basedOn w:val="883"/>
    <w:next w:val="8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6">
    <w:name w:val="Heading 3"/>
    <w:basedOn w:val="883"/>
    <w:next w:val="883"/>
    <w:uiPriority w:val="0"/>
    <w:qFormat/>
    <w:pPr>
      <w:keepLines/>
      <w:keepNext/>
      <w:spacing w:before="260" w:after="260" w:line="416" w:lineRule="auto"/>
      <w:outlineLvl w:val="2"/>
    </w:pPr>
    <w:rPr>
      <w:b/>
      <w:bCs/>
      <w:sz w:val="32"/>
      <w:szCs w:val="32"/>
    </w:rPr>
  </w:style>
  <w:style w:type="character" w:styleId="887" w:default="1">
    <w:name w:val="Default Paragraph Font"/>
    <w:uiPriority w:val="1"/>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customStyle="1">
    <w:name w:val="正文（缩进）"/>
    <w:basedOn w:val="883"/>
    <w:uiPriority w:val="0"/>
    <w:qFormat/>
    <w:pPr>
      <w:ind w:firstLine="480"/>
      <w:spacing w:before="156" w:after="156"/>
    </w:pPr>
  </w:style>
  <w:style w:type="paragraph" w:styleId="890">
    <w:name w:val="Normal Indent"/>
    <w:basedOn w:val="883"/>
    <w:uiPriority w:val="0"/>
    <w:unhideWhenUsed/>
    <w:qFormat/>
    <w:pPr>
      <w:ind w:firstLine="420"/>
    </w:pPr>
  </w:style>
  <w:style w:type="paragraph" w:styleId="891">
    <w:name w:val="annotation text"/>
    <w:basedOn w:val="883"/>
    <w:link w:val="930"/>
    <w:uiPriority w:val="0"/>
    <w:qFormat/>
    <w:pPr>
      <w:jc w:val="left"/>
    </w:pPr>
  </w:style>
  <w:style w:type="paragraph" w:styleId="892">
    <w:name w:val="Body Text"/>
    <w:basedOn w:val="883"/>
    <w:next w:val="883"/>
    <w:uiPriority w:val="0"/>
    <w:qFormat/>
    <w:rPr>
      <w:rFonts w:ascii="楷体_GB2312" w:hAnsi="Arial" w:eastAsia="楷体_GB2312"/>
      <w:sz w:val="28"/>
      <w:szCs w:val="28"/>
    </w:rPr>
  </w:style>
  <w:style w:type="paragraph" w:styleId="893">
    <w:name w:val="Body Text Indent"/>
    <w:basedOn w:val="883"/>
    <w:next w:val="894"/>
    <w:uiPriority w:val="0"/>
    <w:qFormat/>
    <w:pPr>
      <w:ind w:left="420"/>
      <w:spacing w:after="120"/>
    </w:pPr>
    <w:rPr>
      <w:rFonts w:ascii="等线" w:hAnsi="等线" w:eastAsia="等线"/>
    </w:rPr>
  </w:style>
  <w:style w:type="paragraph" w:styleId="894">
    <w:name w:val="envelope return"/>
    <w:basedOn w:val="883"/>
    <w:uiPriority w:val="99"/>
    <w:unhideWhenUsed/>
    <w:qFormat/>
    <w:rPr>
      <w:rFonts w:ascii="Arial" w:hAnsi="Arial"/>
    </w:rPr>
  </w:style>
  <w:style w:type="paragraph" w:styleId="895">
    <w:name w:val="Plain Text"/>
    <w:basedOn w:val="883"/>
    <w:uiPriority w:val="99"/>
    <w:qFormat/>
    <w:rPr>
      <w:rFonts w:ascii="宋体" w:hAnsi="Courier New"/>
      <w:sz w:val="20"/>
      <w:szCs w:val="21"/>
    </w:rPr>
  </w:style>
  <w:style w:type="paragraph" w:styleId="896">
    <w:name w:val="Body Text Indent 2"/>
    <w:basedOn w:val="883"/>
    <w:uiPriority w:val="0"/>
    <w:qFormat/>
    <w:pPr>
      <w:ind w:left="640"/>
      <w:spacing w:after="120" w:line="480" w:lineRule="auto"/>
    </w:pPr>
    <w:rPr>
      <w:rFonts w:eastAsia="仿宋_GB2312"/>
      <w:sz w:val="32"/>
      <w:szCs w:val="28"/>
    </w:rPr>
  </w:style>
  <w:style w:type="paragraph" w:styleId="897">
    <w:name w:val="Balloon Text"/>
    <w:basedOn w:val="883"/>
    <w:link w:val="921"/>
    <w:uiPriority w:val="0"/>
    <w:qFormat/>
    <w:rPr>
      <w:sz w:val="18"/>
      <w:szCs w:val="18"/>
    </w:rPr>
  </w:style>
  <w:style w:type="paragraph" w:styleId="898">
    <w:name w:val="Footer"/>
    <w:basedOn w:val="883"/>
    <w:uiPriority w:val="99"/>
    <w:unhideWhenUsed/>
    <w:qFormat/>
    <w:pPr>
      <w:jc w:val="left"/>
      <w:tabs>
        <w:tab w:val="center" w:pos="4153" w:leader="none"/>
        <w:tab w:val="right" w:pos="8306" w:leader="none"/>
      </w:tabs>
    </w:pPr>
    <w:rPr>
      <w:sz w:val="18"/>
      <w:szCs w:val="18"/>
    </w:rPr>
  </w:style>
  <w:style w:type="paragraph" w:styleId="899">
    <w:name w:val="Header"/>
    <w:basedOn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83"/>
    <w:next w:val="883"/>
    <w:uiPriority w:val="39"/>
    <w:unhideWhenUsed/>
    <w:qFormat/>
  </w:style>
  <w:style w:type="paragraph" w:styleId="901">
    <w:name w:val="toc 2"/>
    <w:basedOn w:val="883"/>
    <w:next w:val="883"/>
    <w:uiPriority w:val="0"/>
    <w:qFormat/>
    <w:pPr>
      <w:ind w:left="420"/>
    </w:pPr>
  </w:style>
  <w:style w:type="paragraph" w:styleId="902">
    <w:name w:val="Body Text 2"/>
    <w:basedOn w:val="883"/>
    <w:uiPriority w:val="0"/>
    <w:qFormat/>
    <w:pPr>
      <w:spacing w:after="120" w:line="480" w:lineRule="auto"/>
    </w:pPr>
  </w:style>
  <w:style w:type="paragraph" w:styleId="903">
    <w:name w:val="Message Header"/>
    <w:basedOn w:val="88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4">
    <w:name w:val="Normal (Web)"/>
    <w:basedOn w:val="883"/>
    <w:uiPriority w:val="0"/>
    <w:qFormat/>
    <w:rPr>
      <w:rFonts w:ascii="Times New Roman" w:hAnsi="Times New Roman"/>
      <w:sz w:val="24"/>
    </w:rPr>
  </w:style>
  <w:style w:type="paragraph" w:styleId="905">
    <w:name w:val="annotation subject"/>
    <w:basedOn w:val="891"/>
    <w:next w:val="891"/>
    <w:link w:val="931"/>
    <w:uiPriority w:val="0"/>
    <w:qFormat/>
    <w:rPr>
      <w:b/>
      <w:bCs/>
    </w:rPr>
  </w:style>
  <w:style w:type="paragraph" w:styleId="906">
    <w:name w:val="Body Text First Indent 2"/>
    <w:basedOn w:val="893"/>
    <w:uiPriority w:val="0"/>
    <w:qFormat/>
    <w:pPr>
      <w:ind w:firstLine="420"/>
      <w:spacing w:before="100" w:beforeAutospacing="1"/>
    </w:pPr>
    <w:rPr>
      <w:rFonts w:ascii="Times New Roman" w:hAnsi="Times New Roman" w:eastAsia="宋体"/>
      <w:sz w:val="20"/>
      <w:szCs w:val="21"/>
    </w:rPr>
  </w:style>
  <w:style w:type="table" w:styleId="907">
    <w:name w:val="Table Grid"/>
    <w:basedOn w:val="8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0"/>
    <w:qFormat/>
    <w:rPr>
      <w:b/>
    </w:rPr>
  </w:style>
  <w:style w:type="character" w:styleId="909">
    <w:name w:val="Emphasis"/>
    <w:uiPriority w:val="0"/>
    <w:qFormat/>
    <w:rPr>
      <w:i/>
    </w:rPr>
  </w:style>
  <w:style w:type="character" w:styleId="910">
    <w:name w:val="Hyperlink"/>
    <w:basedOn w:val="887"/>
    <w:uiPriority w:val="0"/>
    <w:qFormat/>
    <w:rPr>
      <w:color w:val="0000ff"/>
      <w:u w:val="single"/>
    </w:rPr>
  </w:style>
  <w:style w:type="character" w:styleId="911">
    <w:name w:val="annotation reference"/>
    <w:basedOn w:val="887"/>
    <w:uiPriority w:val="0"/>
    <w:qFormat/>
    <w:rPr>
      <w:sz w:val="21"/>
      <w:szCs w:val="21"/>
    </w:rPr>
  </w:style>
  <w:style w:type="paragraph" w:styleId="912" w:customStyle="1">
    <w:name w:val="首行缩进"/>
    <w:basedOn w:val="883"/>
    <w:uiPriority w:val="0"/>
    <w:qFormat/>
    <w:pPr>
      <w:ind w:firstLine="420"/>
      <w:spacing w:line="360" w:lineRule="auto"/>
    </w:pPr>
  </w:style>
  <w:style w:type="paragraph" w:styleId="913"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4" w:customStyle="1">
    <w:name w:val="正文1"/>
    <w:basedOn w:val="883"/>
    <w:next w:val="915"/>
    <w:uiPriority w:val="0"/>
    <w:qFormat/>
    <w:pPr>
      <w:jc w:val="left"/>
      <w:spacing w:line="360" w:lineRule="atLeast"/>
    </w:pPr>
    <w:rPr>
      <w:rFonts w:ascii="宋体" w:hAnsiTheme="minorHAnsi" w:eastAsiaTheme="minorEastAsia" w:cstheme="minorBidi"/>
      <w:sz w:val="24"/>
      <w:szCs w:val="20"/>
    </w:rPr>
  </w:style>
  <w:style w:type="paragraph" w:styleId="915" w:customStyle="1">
    <w:name w:val="正文文本1"/>
    <w:basedOn w:val="914"/>
    <w:next w:val="916"/>
    <w:uiPriority w:val="0"/>
    <w:qFormat/>
    <w:pPr>
      <w:spacing w:after="120"/>
    </w:pPr>
    <w:rPr>
      <w:lang w:eastAsia="en-US"/>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88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customStyle="1">
    <w:name w:val="段"/>
    <w:basedOn w:val="914"/>
    <w:next w:val="883"/>
    <w:uiPriority w:val="0"/>
    <w:qFormat/>
    <w:pPr>
      <w:ind w:firstLine="200"/>
      <w:widowControl/>
    </w:pPr>
    <w:rPr>
      <w:sz w:val="20"/>
    </w:rPr>
  </w:style>
  <w:style w:type="paragraph" w:styleId="919"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920" w:customStyle="1">
    <w:name w:val="Char"/>
    <w:basedOn w:val="883"/>
    <w:uiPriority w:val="0"/>
    <w:qFormat/>
    <w:pPr>
      <w:ind w:firstLine="200"/>
      <w:tabs>
        <w:tab w:val="left" w:pos="360" w:leader="none"/>
      </w:tabs>
    </w:pPr>
    <w:rPr>
      <w:rFonts w:ascii="Times New Roman" w:hAnsi="Times New Roman"/>
      <w:sz w:val="28"/>
      <w:szCs w:val="30"/>
    </w:rPr>
  </w:style>
  <w:style w:type="character" w:styleId="921" w:customStyle="1">
    <w:name w:val="批注框文本 字符"/>
    <w:basedOn w:val="887"/>
    <w:link w:val="897"/>
    <w:uiPriority w:val="0"/>
    <w:qFormat/>
    <w:rPr>
      <w:sz w:val="18"/>
      <w:szCs w:val="18"/>
    </w:rPr>
  </w:style>
  <w:style w:type="paragraph" w:styleId="922" w:customStyle="1">
    <w:name w:val="Table Paragraph"/>
    <w:basedOn w:val="883"/>
    <w:uiPriority w:val="1"/>
    <w:qFormat/>
    <w:rPr>
      <w:rFonts w:ascii="Noto Sans CJK JP Regular" w:hAnsi="Noto Sans CJK JP Regular" w:eastAsia="Noto Sans CJK JP Regular" w:cs="Noto Sans CJK JP Regular"/>
    </w:rPr>
  </w:style>
  <w:style w:type="paragraph" w:styleId="923" w:customStyle="1">
    <w:name w:val="正文（1）"/>
    <w:basedOn w:val="883"/>
    <w:uiPriority w:val="0"/>
    <w:qFormat/>
    <w:pPr>
      <w:numPr>
        <w:ilvl w:val="0"/>
        <w:numId w:val="1"/>
      </w:numPr>
      <w:ind w:firstLine="200"/>
    </w:pPr>
    <w:rPr>
      <w:szCs w:val="24"/>
    </w:rPr>
  </w:style>
  <w:style w:type="paragraph" w:styleId="924" w:customStyle="1">
    <w:name w:val="朱-正文"/>
    <w:basedOn w:val="883"/>
    <w:uiPriority w:val="0"/>
    <w:qFormat/>
    <w:pPr>
      <w:ind w:firstLine="200"/>
    </w:pPr>
    <w:rPr>
      <w:rFonts w:ascii="Times New Roman"/>
      <w:color w:val="000000"/>
      <w:szCs w:val="24"/>
      <w:lang w:val="en-GB"/>
    </w:rPr>
  </w:style>
  <w:style w:type="paragraph" w:styleId="925" w:customStyle="1">
    <w:name w:val="GP正文(首行缩进)"/>
    <w:basedOn w:val="883"/>
    <w:uiPriority w:val="0"/>
    <w:qFormat/>
    <w:pPr>
      <w:ind w:firstLine="480"/>
      <w:jc w:val="left"/>
    </w:pPr>
    <w:rPr>
      <w:rFonts w:ascii="Times New Roman" w:hAnsi="宋体"/>
      <w:sz w:val="24"/>
      <w:szCs w:val="24"/>
    </w:rPr>
  </w:style>
  <w:style w:type="character" w:styleId="926" w:customStyle="1">
    <w:name w:val="font71"/>
    <w:basedOn w:val="887"/>
    <w:uiPriority w:val="0"/>
    <w:qFormat/>
    <w:rPr>
      <w:rFonts w:hint="eastAsia" w:ascii="宋体" w:hAnsi="宋体" w:eastAsia="宋体" w:cs="宋体"/>
      <w:color w:val="ff0000"/>
      <w:sz w:val="21"/>
      <w:szCs w:val="21"/>
      <w:u w:val="none"/>
    </w:rPr>
  </w:style>
  <w:style w:type="character" w:styleId="927" w:customStyle="1">
    <w:name w:val="font41"/>
    <w:basedOn w:val="887"/>
    <w:uiPriority w:val="0"/>
    <w:qFormat/>
    <w:rPr>
      <w:rFonts w:hint="eastAsia" w:ascii="宋体" w:hAnsi="宋体" w:eastAsia="宋体" w:cs="宋体"/>
      <w:color w:val="000000"/>
      <w:sz w:val="21"/>
      <w:szCs w:val="21"/>
      <w:u w:val="none"/>
    </w:rPr>
  </w:style>
  <w:style w:type="paragraph" w:styleId="928">
    <w:name w:val="List Paragraph"/>
    <w:basedOn w:val="883"/>
    <w:uiPriority w:val="0"/>
    <w:qFormat/>
    <w:pPr>
      <w:ind w:firstLine="420"/>
    </w:pPr>
  </w:style>
  <w:style w:type="paragraph" w:styleId="929" w:customStyle="1">
    <w:name w:val="列出段落2"/>
    <w:basedOn w:val="883"/>
    <w:uiPriority w:val="34"/>
    <w:qFormat/>
    <w:pPr>
      <w:ind w:firstLine="420"/>
    </w:pPr>
    <w:rPr>
      <w:rFonts w:ascii="宋体"/>
      <w:color w:val="404040"/>
    </w:rPr>
  </w:style>
  <w:style w:type="character" w:styleId="930" w:customStyle="1">
    <w:name w:val="批注文字 字符"/>
    <w:basedOn w:val="887"/>
    <w:link w:val="891"/>
    <w:uiPriority w:val="0"/>
    <w:qFormat/>
    <w:rPr>
      <w:rFonts w:ascii="Calibri" w:hAnsi="Calibri"/>
      <w:sz w:val="21"/>
      <w:szCs w:val="22"/>
    </w:rPr>
  </w:style>
  <w:style w:type="character" w:styleId="931" w:customStyle="1">
    <w:name w:val="批注主题 字符"/>
    <w:basedOn w:val="930"/>
    <w:link w:val="905"/>
    <w:uiPriority w:val="0"/>
    <w:qFormat/>
    <w:rPr>
      <w:rFonts w:ascii="Calibri" w:hAnsi="Calibri"/>
      <w:b/>
      <w:bCs/>
      <w:sz w:val="21"/>
      <w:szCs w:val="22"/>
    </w:rPr>
  </w:style>
  <w:style w:type="paragraph" w:styleId="932" w:customStyle="1">
    <w:name w:val="列表段落1"/>
    <w:basedOn w:val="883"/>
    <w:uiPriority w:val="0"/>
    <w:qFormat/>
    <w:pPr>
      <w:ind w:firstLine="200"/>
    </w:pPr>
    <w:rPr>
      <w:rFonts w:cs="宋体"/>
    </w:rPr>
  </w:style>
  <w:style w:type="character" w:styleId="933" w:customStyle="1">
    <w:name w:val="font51"/>
    <w:basedOn w:val="887"/>
    <w:uiPriority w:val="0"/>
    <w:qFormat/>
    <w:rPr>
      <w:rFonts w:hint="eastAsia" w:ascii="宋体" w:hAnsi="宋体" w:eastAsia="宋体" w:cs="宋体"/>
      <w:color w:val="000000"/>
      <w:sz w:val="24"/>
      <w:szCs w:val="24"/>
      <w:u w:val="none"/>
      <w:vertAlign w:val="subscript"/>
    </w:rPr>
  </w:style>
  <w:style w:type="character" w:styleId="934" w:customStyle="1">
    <w:name w:val="font61"/>
    <w:basedOn w:val="887"/>
    <w:uiPriority w:val="0"/>
    <w:qFormat/>
    <w:rPr>
      <w:rFonts w:hint="eastAsia" w:ascii="宋体" w:hAnsi="宋体" w:eastAsia="宋体" w:cs="宋体"/>
      <w:color w:val="000000"/>
      <w:sz w:val="24"/>
      <w:szCs w:val="24"/>
      <w:u w:val="none"/>
    </w:rPr>
  </w:style>
  <w:style w:type="character" w:styleId="935" w:customStyle="1">
    <w:name w:val="font01"/>
    <w:basedOn w:val="887"/>
    <w:uiPriority w:val="0"/>
    <w:qFormat/>
    <w:rPr>
      <w:rFonts w:hint="eastAsia" w:ascii="宋体" w:hAnsi="宋体" w:eastAsia="宋体" w:cs="宋体"/>
      <w:color w:val="000000"/>
      <w:sz w:val="24"/>
      <w:szCs w:val="24"/>
      <w:u w:val="none"/>
    </w:rPr>
  </w:style>
  <w:style w:type="character" w:styleId="936" w:customStyle="1">
    <w:name w:val="font81"/>
    <w:basedOn w:val="887"/>
    <w:uiPriority w:val="0"/>
    <w:qFormat/>
    <w:rPr>
      <w:rFonts w:ascii="微软雅黑" w:hAnsi="微软雅黑" w:eastAsia="微软雅黑" w:cs="微软雅黑"/>
      <w:color w:val="000000"/>
      <w:sz w:val="24"/>
      <w:szCs w:val="24"/>
      <w:u w:val="none"/>
    </w:rPr>
  </w:style>
  <w:style w:type="character" w:styleId="937" w:customStyle="1">
    <w:name w:val="font91"/>
    <w:basedOn w:val="887"/>
    <w:uiPriority w:val="0"/>
    <w:qFormat/>
    <w:rPr>
      <w:rFonts w:ascii="Segoe UI Symbol" w:hAnsi="Segoe UI Symbol" w:eastAsia="Segoe UI Symbol" w:cs="Segoe UI Symbol"/>
      <w:color w:val="000000"/>
      <w:sz w:val="24"/>
      <w:szCs w:val="24"/>
      <w:u w:val="none"/>
    </w:rPr>
  </w:style>
  <w:style w:type="character" w:styleId="938" w:customStyle="1">
    <w:name w:val="font101"/>
    <w:basedOn w:val="887"/>
    <w:uiPriority w:val="0"/>
    <w:qFormat/>
    <w:rPr>
      <w:rFonts w:ascii="Calibri" w:hAnsi="Calibri" w:cs="Calibri"/>
      <w:color w:val="000000"/>
      <w:sz w:val="24"/>
      <w:szCs w:val="24"/>
      <w:u w:val="none"/>
    </w:rPr>
  </w:style>
  <w:style w:type="paragraph" w:styleId="939"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0" w:customStyle="1">
    <w:name w:val="TableEmphasis"/>
    <w:basedOn w:val="883"/>
    <w:uiPriority w:val="0"/>
    <w:qFormat/>
    <w:rPr>
      <w:rFonts w:ascii="Times New Roman" w:hAnsi="Times New Roman" w:eastAsia="Times New Roman"/>
      <w:b/>
      <w:bCs/>
      <w:color w:val="3333ff"/>
      <w:sz w:val="16"/>
      <w:szCs w:val="18"/>
    </w:rPr>
  </w:style>
  <w:style w:type="paragraph" w:styleId="941" w:customStyle="1">
    <w:name w:val="修订1"/>
    <w:hidden/>
    <w:uiPriority w:val="99"/>
    <w:unhideWhenUsed/>
    <w:qFormat/>
    <w:rPr>
      <w:rFonts w:ascii="Calibri" w:hAnsi="Calibri" w:eastAsia="宋体" w:cs="Times New Roman"/>
      <w:sz w:val="21"/>
      <w:szCs w:val="22"/>
      <w:lang w:val="en-US" w:eastAsia="zh-CN" w:bidi="ar-SA"/>
    </w:rPr>
  </w:style>
  <w:style w:type="paragraph" w:styleId="942" w:customStyle="1">
    <w:name w:val="修订2"/>
    <w:hidden/>
    <w:uiPriority w:val="99"/>
    <w:semiHidden/>
    <w:qFormat/>
    <w:rPr>
      <w:rFonts w:ascii="Calibri" w:hAnsi="Calibri" w:eastAsia="宋体" w:cs="Times New Roman"/>
      <w:sz w:val="21"/>
      <w:szCs w:val="22"/>
      <w:lang w:val="en-US" w:eastAsia="zh-CN" w:bidi="ar-SA"/>
    </w:rPr>
  </w:style>
  <w:style w:type="character" w:styleId="943" w:customStyle="1">
    <w:name w:val="font11"/>
    <w:basedOn w:val="887"/>
    <w:uiPriority w:val="0"/>
    <w:qFormat/>
    <w:rPr>
      <w:rFonts w:hint="eastAsia" w:ascii="宋体" w:hAnsi="宋体" w:eastAsia="宋体" w:cs="宋体"/>
      <w:color w:val="000000"/>
      <w:sz w:val="24"/>
      <w:szCs w:val="24"/>
      <w:u w:val="none"/>
    </w:rPr>
  </w:style>
  <w:style w:type="character" w:styleId="944" w:customStyle="1">
    <w:name w:val="font21"/>
    <w:basedOn w:val="887"/>
    <w:uiPriority w:val="0"/>
    <w:qFormat/>
    <w:rPr>
      <w:rFonts w:ascii="Segoe UI Symbol" w:hAnsi="Segoe UI Symbol" w:eastAsia="Segoe UI Symbol" w:cs="Segoe UI Symbol"/>
      <w:color w:val="000000"/>
      <w:sz w:val="24"/>
      <w:szCs w:val="24"/>
      <w:u w:val="none"/>
    </w:rPr>
  </w:style>
  <w:style w:type="character" w:styleId="945" w:customStyle="1">
    <w:name w:val="NormalCharacter"/>
    <w:uiPriority w:val="0"/>
    <w:semiHidden/>
    <w:qFormat/>
  </w:style>
  <w:style w:type="paragraph" w:styleId="946" w:customStyle="1">
    <w:name w:val="日期1"/>
    <w:basedOn w:val="883"/>
    <w:next w:val="883"/>
    <w:uiPriority w:val="0"/>
    <w:qFormat/>
    <w:pPr>
      <w:ind w:left="100"/>
    </w:pPr>
    <w:rPr>
      <w:rFonts w:ascii="Times New Roman" w:hAnsi="Times New Roman" w:eastAsia="楷体_GB2312"/>
      <w:b/>
      <w:bCs/>
      <w:sz w:val="32"/>
    </w:rPr>
  </w:style>
  <w:style w:type="paragraph" w:styleId="947" w:customStyle="1">
    <w:name w:val="正文文本缩进1"/>
    <w:basedOn w:val="883"/>
    <w:next w:val="948"/>
    <w:uiPriority w:val="0"/>
    <w:qFormat/>
    <w:pPr>
      <w:ind w:left="420"/>
      <w:spacing w:after="120"/>
    </w:pPr>
    <w:rPr>
      <w:rFonts w:ascii="Times New Roman" w:hAnsi="Times New Roman"/>
      <w:sz w:val="20"/>
      <w:szCs w:val="24"/>
    </w:rPr>
  </w:style>
  <w:style w:type="paragraph" w:styleId="948" w:customStyle="1">
    <w:name w:val="寄信人地址1"/>
    <w:basedOn w:val="883"/>
    <w:uiPriority w:val="0"/>
    <w:qFormat/>
    <w:rPr>
      <w:rFonts w:ascii="Arial" w:hAnsi="Arial"/>
    </w:rPr>
  </w:style>
  <w:style w:type="paragraph" w:styleId="949" w:customStyle="1">
    <w:name w:val="BodyText"/>
    <w:basedOn w:val="883"/>
    <w:uiPriority w:val="0"/>
    <w:qFormat/>
    <w:rPr>
      <w:rFonts w:ascii="楷体_GB2312" w:hAnsi="Arial" w:eastAsia="楷体_GB2312"/>
      <w:sz w:val="28"/>
      <w:szCs w:val="28"/>
    </w:rPr>
  </w:style>
  <w:style w:type="paragraph" w:styleId="950" w:customStyle="1">
    <w:name w:val="UserStyle_0"/>
    <w:basedOn w:val="883"/>
    <w:uiPriority w:val="0"/>
    <w:qFormat/>
    <w:pPr>
      <w:numPr>
        <w:ilvl w:val="0"/>
        <w:numId w:val="2"/>
      </w:numPr>
    </w:pPr>
  </w:style>
  <w:style w:type="character" w:styleId="951" w:customStyle="1">
    <w:name w:val="htd0"/>
    <w:uiPriority w:val="0"/>
    <w:qFormat/>
  </w:style>
  <w:style w:type="paragraph" w:styleId="952"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3" w:customStyle="1">
    <w:name w:val="样式11"/>
    <w:basedOn w:val="884"/>
    <w:uiPriority w:val="0"/>
    <w:qFormat/>
    <w:pPr>
      <w:numPr>
        <w:ilvl w:val="0"/>
        <w:numId w:val="3"/>
      </w:numPr>
      <w:jc w:val="left"/>
      <w:spacing w:before="0" w:after="0"/>
    </w:pPr>
    <w:rPr>
      <w:rFonts w:ascii="黑体" w:hAnsi="黑体" w:eastAsia="黑体"/>
      <w:sz w:val="28"/>
      <w:szCs w:val="28"/>
      <w:lang w:val="zh-CN"/>
    </w:rPr>
  </w:style>
  <w:style w:type="paragraph" w:styleId="954" w:customStyle="1">
    <w:name w:val="样式12"/>
    <w:basedOn w:val="953"/>
    <w:uiPriority w:val="0"/>
    <w:qFormat/>
    <w:pPr>
      <w:numPr>
        <w:ilvl w:val="1"/>
      </w:numPr>
      <w:tabs>
        <w:tab w:val="left" w:pos="567" w:leader="none"/>
      </w:tabs>
      <w:outlineLvl w:val="1"/>
    </w:pPr>
  </w:style>
  <w:style w:type="paragraph" w:styleId="955" w:customStyle="1">
    <w:name w:val="表11"/>
    <w:basedOn w:val="883"/>
    <w:uiPriority w:val="0"/>
    <w:qFormat/>
    <w:pPr>
      <w:jc w:val="center"/>
      <w:tabs>
        <w:tab w:val="left" w:pos="4020" w:leader="none"/>
      </w:tabs>
    </w:pPr>
    <w:rPr>
      <w:rFonts w:ascii="黑体" w:hAnsi="黑体"/>
      <w:szCs w:val="24"/>
      <w:lang w:val="zh-CN"/>
    </w:rPr>
  </w:style>
  <w:style w:type="paragraph" w:styleId="956" w:customStyle="1">
    <w:name w:val="样式13"/>
    <w:basedOn w:val="954"/>
    <w:uiPriority w:val="0"/>
    <w:qFormat/>
    <w:pPr>
      <w:numPr>
        <w:ilvl w:val="2"/>
      </w:numPr>
      <w:ind w:left="510" w:hanging="170"/>
      <w:outlineLvl w:val="2"/>
    </w:pPr>
    <w:rPr>
      <w:sz w:val="24"/>
    </w:rPr>
  </w:style>
  <w:style w:type="paragraph" w:styleId="95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8" w:customStyle="1">
    <w:name w:val="其他"/>
    <w:basedOn w:val="883"/>
    <w:uiPriority w:val="0"/>
    <w:qFormat/>
    <w:pPr>
      <w:spacing w:line="266" w:lineRule="exact"/>
      <w:shd w:val="clear" w:color="auto" w:fill="ffffff"/>
    </w:pPr>
    <w:rPr>
      <w:rFonts w:ascii="MingLiU" w:hAnsi="MingLiU" w:eastAsia="MingLiU" w:cs="MingLiU"/>
      <w:sz w:val="20"/>
      <w:szCs w:val="20"/>
      <w:lang w:val="zh-CN" w:bidi="zh-CN"/>
    </w:rPr>
  </w:style>
  <w:style w:type="paragraph" w:styleId="959" w:customStyle="1">
    <w:name w:val="Body text|1"/>
    <w:basedOn w:val="883"/>
    <w:uiPriority w:val="0"/>
    <w:qFormat/>
    <w:pPr>
      <w:spacing w:after="220"/>
    </w:pPr>
    <w:rPr>
      <w:rFonts w:cs="宋体"/>
      <w:sz w:val="22"/>
      <w:lang w:val="zh-TW" w:eastAsia="zh-TW" w:bidi="zh-TW"/>
    </w:rPr>
  </w:style>
  <w:style w:type="paragraph" w:styleId="960" w:customStyle="1">
    <w:name w:val="Other|1"/>
    <w:basedOn w:val="883"/>
    <w:uiPriority w:val="0"/>
    <w:qFormat/>
    <w:pPr>
      <w:jc w:val="center"/>
    </w:pPr>
    <w:rPr>
      <w:rFonts w:cs="宋体"/>
      <w:sz w:val="20"/>
      <w:szCs w:val="20"/>
      <w:lang w:val="zh-TW" w:eastAsia="zh-TW" w:bidi="zh-TW"/>
    </w:rPr>
  </w:style>
  <w:style w:type="paragraph" w:styleId="961" w:customStyle="1">
    <w:name w:val="Table Text"/>
    <w:basedOn w:val="883"/>
    <w:uiPriority w:val="0"/>
    <w:semiHidden/>
    <w:qFormat/>
    <w:rPr>
      <w:rFonts w:ascii="宋体" w:hAnsi="宋体" w:cs="宋体"/>
      <w:sz w:val="24"/>
      <w:szCs w:val="24"/>
      <w:lang w:eastAsia="en-US"/>
    </w:rPr>
  </w:style>
  <w:style w:type="paragraph" w:styleId="962"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3" w:customStyle="1">
    <w:name w:val="纯文本1"/>
    <w:basedOn w:val="883"/>
    <w:uiPriority w:val="99"/>
    <w:qFormat/>
    <w:rPr>
      <w:rFonts w:ascii="宋体" w:hAnsi="Courier New"/>
      <w:sz w:val="20"/>
      <w:szCs w:val="21"/>
    </w:rPr>
  </w:style>
  <w:style w:type="paragraph" w:styleId="964" w:customStyle="1">
    <w:name w:val="2"/>
    <w:next w:val="883"/>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5" w:customStyle="1">
    <w:name w:val="正文首行缩进 21"/>
    <w:basedOn w:val="947"/>
    <w:next w:val="966"/>
    <w:uiPriority w:val="0"/>
    <w:qFormat/>
    <w:pPr>
      <w:ind w:firstLine="420"/>
    </w:pPr>
  </w:style>
  <w:style w:type="paragraph" w:styleId="966" w:customStyle="1">
    <w:name w:val="正文首行缩进1"/>
    <w:basedOn w:val="967"/>
    <w:next w:val="883"/>
    <w:uiPriority w:val="0"/>
    <w:qFormat/>
    <w:pPr>
      <w:ind w:firstLine="425"/>
      <w:spacing w:before="100" w:after="100" w:line="360" w:lineRule="atLeast"/>
    </w:pPr>
    <w:rPr>
      <w:rFonts w:ascii="Times New Roman" w:hAnsi="Times New Roman" w:eastAsia="宋体"/>
    </w:rPr>
  </w:style>
  <w:style w:type="paragraph" w:styleId="967" w:customStyle="1">
    <w:name w:val="正文文本11"/>
    <w:basedOn w:val="883"/>
    <w:next w:val="883"/>
    <w:uiPriority w:val="99"/>
    <w:unhideWhenUsed/>
    <w:qFormat/>
    <w:rPr>
      <w:rFonts w:ascii="楷体_GB2312" w:hAnsi="Arial" w:eastAsia="楷体_GB2312"/>
      <w:sz w:val="28"/>
      <w:szCs w:val="28"/>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7</cp:revision>
  <dcterms:created xsi:type="dcterms:W3CDTF">2023-11-29T03:36:00Z</dcterms:created>
  <dcterms:modified xsi:type="dcterms:W3CDTF">2026-04-14T10:07:51Z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9A40BF03E03B450E88A1D9ACC4325CA2_13</vt:lpwstr>
  </property>
  <property fmtid="{D5CDD505-2E9C-101B-9397-08002B2CF9AE}" pid="4" name="KSOTemplateDocerSaveRecord">
    <vt:lpwstr>eyJoZGlkIjoiMDQ5OWZiZDI1NmRlZTRiYTI3YTFkZjFkYjAwNGE0ODUiLCJ1c2VySWQiOiIxNDI3MTIwNTU1In0=</vt:lpwstr>
  </property>
</Properties>
</file>